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29" w:rsidRPr="00442AA5" w:rsidRDefault="00045A60" w:rsidP="00447A8B">
      <w:pPr>
        <w:jc w:val="center"/>
        <w:rPr>
          <w:rFonts w:ascii="Times New Roman" w:hAnsi="Times New Roman" w:cs="Times New Roman"/>
        </w:rPr>
      </w:pPr>
      <w:r w:rsidRPr="00442AA5">
        <w:rPr>
          <w:rFonts w:ascii="Times New Roman" w:hAnsi="Times New Roman" w:cs="Times New Roman"/>
        </w:rPr>
        <w:t>THE CORPORATION OF THE VILLAGE OF NEW DENVER</w:t>
      </w:r>
    </w:p>
    <w:p w:rsidR="00045A60" w:rsidRPr="00442AA5" w:rsidRDefault="00045A60" w:rsidP="00447A8B">
      <w:pPr>
        <w:jc w:val="center"/>
        <w:rPr>
          <w:rFonts w:ascii="Times New Roman" w:hAnsi="Times New Roman" w:cs="Times New Roman"/>
        </w:rPr>
      </w:pPr>
    </w:p>
    <w:p w:rsidR="00045A60" w:rsidRPr="00442AA5" w:rsidRDefault="00045A60" w:rsidP="00447A8B">
      <w:pPr>
        <w:jc w:val="center"/>
        <w:rPr>
          <w:rFonts w:ascii="Times New Roman" w:hAnsi="Times New Roman" w:cs="Times New Roman"/>
        </w:rPr>
      </w:pPr>
      <w:proofErr w:type="gramStart"/>
      <w:r w:rsidRPr="00442AA5">
        <w:rPr>
          <w:rFonts w:ascii="Times New Roman" w:hAnsi="Times New Roman" w:cs="Times New Roman"/>
        </w:rPr>
        <w:t>BYLAW NO.</w:t>
      </w:r>
      <w:proofErr w:type="gramEnd"/>
      <w:r w:rsidRPr="00442AA5">
        <w:rPr>
          <w:rFonts w:ascii="Times New Roman" w:hAnsi="Times New Roman" w:cs="Times New Roman"/>
        </w:rPr>
        <w:t xml:space="preserve"> </w:t>
      </w:r>
      <w:r w:rsidR="00976E94">
        <w:rPr>
          <w:rFonts w:ascii="Times New Roman" w:hAnsi="Times New Roman" w:cs="Times New Roman"/>
        </w:rPr>
        <w:t>694</w:t>
      </w:r>
      <w:r w:rsidR="00843563">
        <w:rPr>
          <w:rFonts w:ascii="Times New Roman" w:hAnsi="Times New Roman" w:cs="Times New Roman"/>
        </w:rPr>
        <w:t>, 20</w:t>
      </w:r>
      <w:r w:rsidR="006733D6">
        <w:rPr>
          <w:rFonts w:ascii="Times New Roman" w:hAnsi="Times New Roman" w:cs="Times New Roman"/>
        </w:rPr>
        <w:t>1</w:t>
      </w:r>
      <w:r w:rsidR="00976E94">
        <w:rPr>
          <w:rFonts w:ascii="Times New Roman" w:hAnsi="Times New Roman" w:cs="Times New Roman"/>
        </w:rPr>
        <w:t>5</w:t>
      </w:r>
    </w:p>
    <w:p w:rsidR="00045A60" w:rsidRPr="00442AA5" w:rsidRDefault="00045A60" w:rsidP="00447A8B">
      <w:pPr>
        <w:jc w:val="center"/>
        <w:rPr>
          <w:rFonts w:ascii="Times New Roman" w:hAnsi="Times New Roman" w:cs="Times New Roman"/>
        </w:rPr>
      </w:pPr>
    </w:p>
    <w:p w:rsidR="00447A8B" w:rsidRPr="00442AA5" w:rsidRDefault="00045A60" w:rsidP="00447A8B">
      <w:pPr>
        <w:jc w:val="center"/>
        <w:rPr>
          <w:rFonts w:ascii="Times New Roman" w:hAnsi="Times New Roman" w:cs="Times New Roman"/>
        </w:rPr>
      </w:pPr>
      <w:r w:rsidRPr="00442AA5">
        <w:rPr>
          <w:rFonts w:ascii="Times New Roman" w:hAnsi="Times New Roman" w:cs="Times New Roman"/>
        </w:rPr>
        <w:t xml:space="preserve">A Bylaw of the Village of New Denver respecting the Five Year Financial Plan </w:t>
      </w:r>
    </w:p>
    <w:p w:rsidR="00045A60" w:rsidRPr="00442AA5" w:rsidRDefault="00045A60" w:rsidP="00447A8B">
      <w:pPr>
        <w:jc w:val="center"/>
        <w:rPr>
          <w:rFonts w:ascii="Times New Roman" w:hAnsi="Times New Roman" w:cs="Times New Roman"/>
        </w:rPr>
      </w:pPr>
      <w:r w:rsidRPr="00442AA5">
        <w:rPr>
          <w:rFonts w:ascii="Times New Roman" w:hAnsi="Times New Roman" w:cs="Times New Roman"/>
        </w:rPr>
        <w:t>(Year 1, Annual Budget for the Year ending December 31, 20</w:t>
      </w:r>
      <w:r w:rsidR="006733D6">
        <w:rPr>
          <w:rFonts w:ascii="Times New Roman" w:hAnsi="Times New Roman" w:cs="Times New Roman"/>
        </w:rPr>
        <w:t>1</w:t>
      </w:r>
      <w:r w:rsidR="00976E94">
        <w:rPr>
          <w:rFonts w:ascii="Times New Roman" w:hAnsi="Times New Roman" w:cs="Times New Roman"/>
        </w:rPr>
        <w:t>5</w:t>
      </w:r>
      <w:r w:rsidRPr="00442AA5">
        <w:rPr>
          <w:rFonts w:ascii="Times New Roman" w:hAnsi="Times New Roman" w:cs="Times New Roman"/>
        </w:rPr>
        <w:t>)</w:t>
      </w:r>
    </w:p>
    <w:p w:rsidR="00045A60" w:rsidRPr="00442AA5" w:rsidRDefault="00045A60">
      <w:pPr>
        <w:rPr>
          <w:rFonts w:ascii="Times New Roman" w:hAnsi="Times New Roman" w:cs="Times New Roman"/>
        </w:rPr>
      </w:pPr>
      <w:r w:rsidRPr="00442AA5">
        <w:rPr>
          <w:rFonts w:ascii="Times New Roman" w:hAnsi="Times New Roman" w:cs="Times New Roman"/>
        </w:rPr>
        <w:t>******************************************************************************</w:t>
      </w:r>
    </w:p>
    <w:p w:rsidR="00045A60" w:rsidRPr="00442AA5" w:rsidRDefault="00045A60">
      <w:pPr>
        <w:rPr>
          <w:rFonts w:ascii="Times New Roman" w:hAnsi="Times New Roman" w:cs="Times New Roman"/>
        </w:rPr>
      </w:pPr>
    </w:p>
    <w:p w:rsidR="00045A60" w:rsidRPr="00442AA5" w:rsidRDefault="00045A60">
      <w:pPr>
        <w:rPr>
          <w:rFonts w:ascii="Times New Roman" w:hAnsi="Times New Roman" w:cs="Times New Roman"/>
        </w:rPr>
      </w:pPr>
      <w:r w:rsidRPr="00442AA5">
        <w:rPr>
          <w:rFonts w:ascii="Times New Roman" w:hAnsi="Times New Roman" w:cs="Times New Roman"/>
        </w:rPr>
        <w:tab/>
        <w:t xml:space="preserve">THE COUNCIL OF THE Village of New Denver in open meeting </w:t>
      </w:r>
      <w:proofErr w:type="gramStart"/>
      <w:r w:rsidRPr="00442AA5">
        <w:rPr>
          <w:rFonts w:ascii="Times New Roman" w:hAnsi="Times New Roman" w:cs="Times New Roman"/>
        </w:rPr>
        <w:t>assembled,</w:t>
      </w:r>
      <w:proofErr w:type="gramEnd"/>
      <w:r w:rsidRPr="00442AA5">
        <w:rPr>
          <w:rFonts w:ascii="Times New Roman" w:hAnsi="Times New Roman" w:cs="Times New Roman"/>
        </w:rPr>
        <w:t xml:space="preserve"> enacts as follows:</w:t>
      </w:r>
    </w:p>
    <w:p w:rsidR="00045A60" w:rsidRPr="00442AA5" w:rsidRDefault="00045A60">
      <w:pPr>
        <w:rPr>
          <w:rFonts w:ascii="Times New Roman" w:hAnsi="Times New Roman" w:cs="Times New Roman"/>
        </w:rPr>
      </w:pPr>
    </w:p>
    <w:p w:rsidR="00045A60" w:rsidRPr="00442AA5" w:rsidRDefault="00045A60" w:rsidP="00D06F4F">
      <w:pPr>
        <w:ind w:left="709" w:hanging="709"/>
        <w:rPr>
          <w:rFonts w:ascii="Times New Roman" w:hAnsi="Times New Roman" w:cs="Times New Roman"/>
        </w:rPr>
      </w:pPr>
      <w:r w:rsidRPr="00442AA5">
        <w:rPr>
          <w:rFonts w:ascii="Times New Roman" w:hAnsi="Times New Roman" w:cs="Times New Roman"/>
        </w:rPr>
        <w:t>1.</w:t>
      </w:r>
      <w:r w:rsidRPr="00442AA5">
        <w:rPr>
          <w:rFonts w:ascii="Times New Roman" w:hAnsi="Times New Roman" w:cs="Times New Roman"/>
        </w:rPr>
        <w:tab/>
        <w:t>Appendi</w:t>
      </w:r>
      <w:r w:rsidR="00C93E6C">
        <w:rPr>
          <w:rFonts w:ascii="Times New Roman" w:hAnsi="Times New Roman" w:cs="Times New Roman"/>
        </w:rPr>
        <w:t>ces</w:t>
      </w:r>
      <w:r w:rsidRPr="00442AA5">
        <w:rPr>
          <w:rFonts w:ascii="Times New Roman" w:hAnsi="Times New Roman" w:cs="Times New Roman"/>
        </w:rPr>
        <w:t xml:space="preserve"> A</w:t>
      </w:r>
      <w:r w:rsidR="00C93E6C">
        <w:rPr>
          <w:rFonts w:ascii="Times New Roman" w:hAnsi="Times New Roman" w:cs="Times New Roman"/>
        </w:rPr>
        <w:t>, B</w:t>
      </w:r>
      <w:r w:rsidRPr="00442AA5">
        <w:rPr>
          <w:rFonts w:ascii="Times New Roman" w:hAnsi="Times New Roman" w:cs="Times New Roman"/>
        </w:rPr>
        <w:t>,</w:t>
      </w:r>
      <w:r w:rsidR="00C93E6C">
        <w:rPr>
          <w:rFonts w:ascii="Times New Roman" w:hAnsi="Times New Roman" w:cs="Times New Roman"/>
        </w:rPr>
        <w:t xml:space="preserve"> and C,</w:t>
      </w:r>
      <w:r w:rsidRPr="00442AA5">
        <w:rPr>
          <w:rFonts w:ascii="Times New Roman" w:hAnsi="Times New Roman" w:cs="Times New Roman"/>
        </w:rPr>
        <w:t xml:space="preserve"> attached hereto and made part of this bylaw</w:t>
      </w:r>
      <w:r w:rsidR="009C6315">
        <w:rPr>
          <w:rFonts w:ascii="Times New Roman" w:hAnsi="Times New Roman" w:cs="Times New Roman"/>
        </w:rPr>
        <w:t>,</w:t>
      </w:r>
      <w:r w:rsidRPr="00442AA5">
        <w:rPr>
          <w:rFonts w:ascii="Times New Roman" w:hAnsi="Times New Roman" w:cs="Times New Roman"/>
        </w:rPr>
        <w:t xml:space="preserve"> </w:t>
      </w:r>
      <w:r w:rsidR="00C93E6C">
        <w:rPr>
          <w:rFonts w:ascii="Times New Roman" w:hAnsi="Times New Roman" w:cs="Times New Roman"/>
        </w:rPr>
        <w:t>are</w:t>
      </w:r>
      <w:r w:rsidRPr="00442AA5">
        <w:rPr>
          <w:rFonts w:ascii="Times New Roman" w:hAnsi="Times New Roman" w:cs="Times New Roman"/>
        </w:rPr>
        <w:t xml:space="preserve"> hereby adopted as the Five Year Financial Plan of the Village of New Denver for the year ending December 31, 20</w:t>
      </w:r>
      <w:r w:rsidR="006733D6">
        <w:rPr>
          <w:rFonts w:ascii="Times New Roman" w:hAnsi="Times New Roman" w:cs="Times New Roman"/>
        </w:rPr>
        <w:t>1</w:t>
      </w:r>
      <w:r w:rsidR="00976E94">
        <w:rPr>
          <w:rFonts w:ascii="Times New Roman" w:hAnsi="Times New Roman" w:cs="Times New Roman"/>
        </w:rPr>
        <w:t>5</w:t>
      </w:r>
      <w:r w:rsidR="006733D6">
        <w:rPr>
          <w:rFonts w:ascii="Times New Roman" w:hAnsi="Times New Roman" w:cs="Times New Roman"/>
        </w:rPr>
        <w:t xml:space="preserve"> through December 31, 201</w:t>
      </w:r>
      <w:r w:rsidR="00976E94">
        <w:rPr>
          <w:rFonts w:ascii="Times New Roman" w:hAnsi="Times New Roman" w:cs="Times New Roman"/>
        </w:rPr>
        <w:t>9.</w:t>
      </w:r>
    </w:p>
    <w:p w:rsidR="00045A60" w:rsidRPr="00442AA5" w:rsidRDefault="00045A60" w:rsidP="00D06F4F">
      <w:pPr>
        <w:ind w:left="709" w:hanging="709"/>
        <w:rPr>
          <w:rFonts w:ascii="Times New Roman" w:hAnsi="Times New Roman" w:cs="Times New Roman"/>
        </w:rPr>
      </w:pPr>
    </w:p>
    <w:p w:rsidR="00045A60" w:rsidRPr="00442AA5" w:rsidRDefault="00045A60" w:rsidP="00D06F4F">
      <w:pPr>
        <w:ind w:left="709" w:hanging="709"/>
        <w:rPr>
          <w:rFonts w:ascii="Times New Roman" w:hAnsi="Times New Roman" w:cs="Times New Roman"/>
        </w:rPr>
      </w:pPr>
      <w:r w:rsidRPr="00442AA5">
        <w:rPr>
          <w:rFonts w:ascii="Times New Roman" w:hAnsi="Times New Roman" w:cs="Times New Roman"/>
        </w:rPr>
        <w:t>2.</w:t>
      </w:r>
      <w:r w:rsidRPr="00442AA5">
        <w:rPr>
          <w:rFonts w:ascii="Times New Roman" w:hAnsi="Times New Roman" w:cs="Times New Roman"/>
        </w:rPr>
        <w:tab/>
        <w:t xml:space="preserve">This bylaw may be cited for all purposes as the “Village of New Denver Five Year Financial Plan Bylaw No. </w:t>
      </w:r>
      <w:r w:rsidR="00843563">
        <w:rPr>
          <w:rFonts w:ascii="Times New Roman" w:hAnsi="Times New Roman" w:cs="Times New Roman"/>
        </w:rPr>
        <w:t>6</w:t>
      </w:r>
      <w:r w:rsidR="00976E94">
        <w:rPr>
          <w:rFonts w:ascii="Times New Roman" w:hAnsi="Times New Roman" w:cs="Times New Roman"/>
        </w:rPr>
        <w:t>94</w:t>
      </w:r>
      <w:r w:rsidRPr="00442AA5">
        <w:rPr>
          <w:rFonts w:ascii="Times New Roman" w:hAnsi="Times New Roman" w:cs="Times New Roman"/>
        </w:rPr>
        <w:t>, 20</w:t>
      </w:r>
      <w:r w:rsidR="006733D6">
        <w:rPr>
          <w:rFonts w:ascii="Times New Roman" w:hAnsi="Times New Roman" w:cs="Times New Roman"/>
        </w:rPr>
        <w:t>1</w:t>
      </w:r>
      <w:r w:rsidR="00976E94">
        <w:rPr>
          <w:rFonts w:ascii="Times New Roman" w:hAnsi="Times New Roman" w:cs="Times New Roman"/>
        </w:rPr>
        <w:t>5</w:t>
      </w:r>
      <w:r w:rsidRPr="00442AA5">
        <w:rPr>
          <w:rFonts w:ascii="Times New Roman" w:hAnsi="Times New Roman" w:cs="Times New Roman"/>
        </w:rPr>
        <w:t>”</w:t>
      </w:r>
    </w:p>
    <w:p w:rsidR="00045A60" w:rsidRPr="00442AA5" w:rsidRDefault="00045A60">
      <w:pPr>
        <w:rPr>
          <w:rFonts w:ascii="Times New Roman" w:hAnsi="Times New Roman" w:cs="Times New Roman"/>
        </w:rPr>
      </w:pPr>
    </w:p>
    <w:p w:rsidR="006E2397" w:rsidRDefault="00045A60" w:rsidP="00D06F4F">
      <w:pPr>
        <w:ind w:left="720"/>
        <w:rPr>
          <w:rFonts w:ascii="Times New Roman" w:hAnsi="Times New Roman" w:cs="Times New Roman"/>
        </w:rPr>
      </w:pPr>
      <w:r w:rsidRPr="00442AA5">
        <w:rPr>
          <w:rFonts w:ascii="Times New Roman" w:hAnsi="Times New Roman" w:cs="Times New Roman"/>
        </w:rPr>
        <w:t xml:space="preserve">READ A FIRST TIME this </w:t>
      </w:r>
      <w:r w:rsidR="00976E94">
        <w:rPr>
          <w:rFonts w:ascii="Times New Roman" w:hAnsi="Times New Roman" w:cs="Times New Roman"/>
        </w:rPr>
        <w:softHyphen/>
      </w:r>
      <w:r w:rsidR="00976E94">
        <w:rPr>
          <w:rFonts w:ascii="Times New Roman" w:hAnsi="Times New Roman" w:cs="Times New Roman"/>
        </w:rPr>
        <w:softHyphen/>
      </w:r>
      <w:r w:rsidR="00976E94">
        <w:rPr>
          <w:rFonts w:ascii="Times New Roman" w:hAnsi="Times New Roman" w:cs="Times New Roman"/>
        </w:rPr>
        <w:softHyphen/>
      </w:r>
      <w:r w:rsidR="00976E94">
        <w:rPr>
          <w:rFonts w:ascii="Times New Roman" w:hAnsi="Times New Roman" w:cs="Times New Roman"/>
        </w:rPr>
        <w:softHyphen/>
      </w:r>
      <w:r w:rsidR="00226167">
        <w:rPr>
          <w:rFonts w:ascii="Times New Roman" w:hAnsi="Times New Roman" w:cs="Times New Roman"/>
        </w:rPr>
        <w:t>8</w:t>
      </w:r>
      <w:r w:rsidR="00226167" w:rsidRPr="00226167">
        <w:rPr>
          <w:rFonts w:ascii="Times New Roman" w:hAnsi="Times New Roman" w:cs="Times New Roman"/>
          <w:vertAlign w:val="superscript"/>
        </w:rPr>
        <w:t>th</w:t>
      </w:r>
      <w:r w:rsidR="00226167">
        <w:rPr>
          <w:rFonts w:ascii="Times New Roman" w:hAnsi="Times New Roman" w:cs="Times New Roman"/>
        </w:rPr>
        <w:t xml:space="preserve"> day of May, 2015.</w:t>
      </w:r>
    </w:p>
    <w:p w:rsidR="006E2397" w:rsidRDefault="006E2397" w:rsidP="00D06F4F">
      <w:pPr>
        <w:ind w:left="720"/>
        <w:rPr>
          <w:rFonts w:ascii="Times New Roman" w:hAnsi="Times New Roman" w:cs="Times New Roman"/>
        </w:rPr>
      </w:pPr>
    </w:p>
    <w:p w:rsidR="009C6315" w:rsidRDefault="00045A60" w:rsidP="009C6315">
      <w:pPr>
        <w:ind w:left="720"/>
        <w:rPr>
          <w:rFonts w:ascii="Times New Roman" w:hAnsi="Times New Roman" w:cs="Times New Roman"/>
        </w:rPr>
      </w:pPr>
      <w:r w:rsidRPr="00442AA5">
        <w:rPr>
          <w:rFonts w:ascii="Times New Roman" w:hAnsi="Times New Roman" w:cs="Times New Roman"/>
        </w:rPr>
        <w:t xml:space="preserve">READ A </w:t>
      </w:r>
      <w:r w:rsidR="00D06F4F" w:rsidRPr="00442AA5">
        <w:rPr>
          <w:rFonts w:ascii="Times New Roman" w:hAnsi="Times New Roman" w:cs="Times New Roman"/>
        </w:rPr>
        <w:t>SECOND</w:t>
      </w:r>
      <w:r w:rsidR="006733D6">
        <w:rPr>
          <w:rFonts w:ascii="Times New Roman" w:hAnsi="Times New Roman" w:cs="Times New Roman"/>
        </w:rPr>
        <w:t xml:space="preserve"> TIME</w:t>
      </w:r>
      <w:r w:rsidRPr="00442AA5">
        <w:rPr>
          <w:rFonts w:ascii="Times New Roman" w:hAnsi="Times New Roman" w:cs="Times New Roman"/>
        </w:rPr>
        <w:t xml:space="preserve"> </w:t>
      </w:r>
      <w:r w:rsidR="00226167" w:rsidRPr="00442AA5">
        <w:rPr>
          <w:rFonts w:ascii="Times New Roman" w:hAnsi="Times New Roman" w:cs="Times New Roman"/>
        </w:rPr>
        <w:t xml:space="preserve">this </w:t>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t>8</w:t>
      </w:r>
      <w:r w:rsidR="00226167" w:rsidRPr="00226167">
        <w:rPr>
          <w:rFonts w:ascii="Times New Roman" w:hAnsi="Times New Roman" w:cs="Times New Roman"/>
          <w:vertAlign w:val="superscript"/>
        </w:rPr>
        <w:t>th</w:t>
      </w:r>
      <w:r w:rsidR="00226167">
        <w:rPr>
          <w:rFonts w:ascii="Times New Roman" w:hAnsi="Times New Roman" w:cs="Times New Roman"/>
        </w:rPr>
        <w:t xml:space="preserve"> day of May, 2015.</w:t>
      </w:r>
    </w:p>
    <w:p w:rsidR="00437E05" w:rsidRDefault="00437E05" w:rsidP="00D06F4F">
      <w:pPr>
        <w:ind w:left="720"/>
        <w:rPr>
          <w:rFonts w:ascii="Times New Roman" w:hAnsi="Times New Roman" w:cs="Times New Roman"/>
        </w:rPr>
      </w:pPr>
    </w:p>
    <w:p w:rsidR="009C6315" w:rsidRDefault="00045A60" w:rsidP="009C6315">
      <w:pPr>
        <w:ind w:left="720"/>
        <w:rPr>
          <w:rFonts w:ascii="Times New Roman" w:hAnsi="Times New Roman" w:cs="Times New Roman"/>
        </w:rPr>
      </w:pPr>
      <w:r w:rsidRPr="00442AA5">
        <w:rPr>
          <w:rFonts w:ascii="Times New Roman" w:hAnsi="Times New Roman" w:cs="Times New Roman"/>
        </w:rPr>
        <w:t xml:space="preserve">READ A </w:t>
      </w:r>
      <w:r w:rsidR="00D06F4F" w:rsidRPr="00442AA5">
        <w:rPr>
          <w:rFonts w:ascii="Times New Roman" w:hAnsi="Times New Roman" w:cs="Times New Roman"/>
        </w:rPr>
        <w:t>THIRD</w:t>
      </w:r>
      <w:r w:rsidRPr="00442AA5">
        <w:rPr>
          <w:rFonts w:ascii="Times New Roman" w:hAnsi="Times New Roman" w:cs="Times New Roman"/>
        </w:rPr>
        <w:t xml:space="preserve"> TIME </w:t>
      </w:r>
      <w:r w:rsidR="00226167" w:rsidRPr="00442AA5">
        <w:rPr>
          <w:rFonts w:ascii="Times New Roman" w:hAnsi="Times New Roman" w:cs="Times New Roman"/>
        </w:rPr>
        <w:t xml:space="preserve">this </w:t>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t>8</w:t>
      </w:r>
      <w:r w:rsidR="00226167" w:rsidRPr="00226167">
        <w:rPr>
          <w:rFonts w:ascii="Times New Roman" w:hAnsi="Times New Roman" w:cs="Times New Roman"/>
          <w:vertAlign w:val="superscript"/>
        </w:rPr>
        <w:t>th</w:t>
      </w:r>
      <w:r w:rsidR="00226167">
        <w:rPr>
          <w:rFonts w:ascii="Times New Roman" w:hAnsi="Times New Roman" w:cs="Times New Roman"/>
        </w:rPr>
        <w:t xml:space="preserve"> day of May, 2015.</w:t>
      </w:r>
    </w:p>
    <w:p w:rsidR="00437E05" w:rsidRPr="00442AA5" w:rsidRDefault="00437E05" w:rsidP="00D06F4F">
      <w:pPr>
        <w:ind w:left="720"/>
        <w:rPr>
          <w:rFonts w:ascii="Times New Roman" w:hAnsi="Times New Roman" w:cs="Times New Roman"/>
        </w:rPr>
      </w:pPr>
    </w:p>
    <w:p w:rsidR="00045A60" w:rsidRPr="00442AA5" w:rsidRDefault="00045A60">
      <w:pPr>
        <w:rPr>
          <w:rFonts w:ascii="Times New Roman" w:hAnsi="Times New Roman" w:cs="Times New Roman"/>
        </w:rPr>
      </w:pPr>
    </w:p>
    <w:p w:rsidR="00D06F4F" w:rsidRDefault="00D06F4F">
      <w:pPr>
        <w:rPr>
          <w:rFonts w:ascii="Times New Roman" w:hAnsi="Times New Roman" w:cs="Times New Roman"/>
        </w:rPr>
      </w:pPr>
      <w:r w:rsidRPr="00442AA5">
        <w:rPr>
          <w:rFonts w:ascii="Times New Roman" w:hAnsi="Times New Roman" w:cs="Times New Roman"/>
        </w:rPr>
        <w:t>RECONSIDERED AND ADOPTED</w:t>
      </w:r>
      <w:r w:rsidR="00045A60" w:rsidRPr="00442AA5">
        <w:rPr>
          <w:rFonts w:ascii="Times New Roman" w:hAnsi="Times New Roman" w:cs="Times New Roman"/>
        </w:rPr>
        <w:t xml:space="preserve"> </w:t>
      </w:r>
      <w:r w:rsidR="00226167" w:rsidRPr="00442AA5">
        <w:rPr>
          <w:rFonts w:ascii="Times New Roman" w:hAnsi="Times New Roman" w:cs="Times New Roman"/>
        </w:rPr>
        <w:t xml:space="preserve">this </w:t>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r>
      <w:r w:rsidR="00226167">
        <w:rPr>
          <w:rFonts w:ascii="Times New Roman" w:hAnsi="Times New Roman" w:cs="Times New Roman"/>
        </w:rPr>
        <w:softHyphen/>
        <w:t>12</w:t>
      </w:r>
      <w:r w:rsidR="00226167" w:rsidRPr="00226167">
        <w:rPr>
          <w:rFonts w:ascii="Times New Roman" w:hAnsi="Times New Roman" w:cs="Times New Roman"/>
          <w:vertAlign w:val="superscript"/>
        </w:rPr>
        <w:t>th</w:t>
      </w:r>
      <w:r w:rsidR="00226167">
        <w:rPr>
          <w:rFonts w:ascii="Times New Roman" w:hAnsi="Times New Roman" w:cs="Times New Roman"/>
        </w:rPr>
        <w:t xml:space="preserve"> day of May, 2015.</w:t>
      </w:r>
    </w:p>
    <w:p w:rsidR="008E0DA4" w:rsidRPr="00442AA5" w:rsidRDefault="008E0DA4">
      <w:pPr>
        <w:rPr>
          <w:rFonts w:ascii="Times New Roman" w:hAnsi="Times New Roman" w:cs="Times New Roman"/>
        </w:rPr>
      </w:pPr>
    </w:p>
    <w:tbl>
      <w:tblPr>
        <w:tblStyle w:val="TableGrid"/>
        <w:tblW w:w="0" w:type="auto"/>
        <w:tblLook w:val="04A0"/>
      </w:tblPr>
      <w:tblGrid>
        <w:gridCol w:w="4644"/>
        <w:gridCol w:w="851"/>
        <w:gridCol w:w="4081"/>
      </w:tblGrid>
      <w:tr w:rsidR="00D06F4F" w:rsidRPr="00442AA5" w:rsidTr="00D06F4F">
        <w:tc>
          <w:tcPr>
            <w:tcW w:w="4644" w:type="dxa"/>
            <w:tcBorders>
              <w:top w:val="nil"/>
              <w:left w:val="nil"/>
              <w:bottom w:val="single" w:sz="4" w:space="0" w:color="auto"/>
              <w:right w:val="nil"/>
            </w:tcBorders>
          </w:tcPr>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Default="00D06F4F">
            <w:pPr>
              <w:rPr>
                <w:rFonts w:ascii="Times New Roman" w:hAnsi="Times New Roman" w:cs="Times New Roman"/>
              </w:rPr>
            </w:pPr>
          </w:p>
          <w:p w:rsidR="00612CD3" w:rsidRPr="00442AA5" w:rsidRDefault="00612CD3">
            <w:pPr>
              <w:rPr>
                <w:rFonts w:ascii="Times New Roman" w:hAnsi="Times New Roman" w:cs="Times New Roman"/>
              </w:rPr>
            </w:pPr>
          </w:p>
          <w:p w:rsidR="00D06F4F" w:rsidRPr="00442AA5" w:rsidRDefault="00D06F4F">
            <w:pPr>
              <w:rPr>
                <w:rFonts w:ascii="Times New Roman" w:hAnsi="Times New Roman" w:cs="Times New Roman"/>
              </w:rPr>
            </w:pPr>
          </w:p>
          <w:p w:rsidR="00D06F4F" w:rsidRPr="00437E05" w:rsidRDefault="00D06F4F">
            <w:pPr>
              <w:rPr>
                <w:rFonts w:ascii="Times New Roman" w:hAnsi="Times New Roman" w:cs="Times New Roman"/>
                <w:i/>
              </w:rPr>
            </w:pPr>
          </w:p>
        </w:tc>
        <w:tc>
          <w:tcPr>
            <w:tcW w:w="851" w:type="dxa"/>
            <w:tcBorders>
              <w:top w:val="nil"/>
              <w:left w:val="nil"/>
              <w:bottom w:val="nil"/>
              <w:right w:val="nil"/>
            </w:tcBorders>
          </w:tcPr>
          <w:p w:rsidR="00D06F4F" w:rsidRDefault="00D06F4F">
            <w:pPr>
              <w:rPr>
                <w:rFonts w:ascii="Times New Roman" w:hAnsi="Times New Roman" w:cs="Times New Roman"/>
              </w:rPr>
            </w:pPr>
          </w:p>
          <w:p w:rsidR="00612CD3" w:rsidRPr="00442AA5" w:rsidRDefault="00612CD3">
            <w:pPr>
              <w:rPr>
                <w:rFonts w:ascii="Times New Roman" w:hAnsi="Times New Roman" w:cs="Times New Roman"/>
              </w:rPr>
            </w:pPr>
          </w:p>
        </w:tc>
        <w:tc>
          <w:tcPr>
            <w:tcW w:w="4081" w:type="dxa"/>
            <w:tcBorders>
              <w:top w:val="nil"/>
              <w:left w:val="nil"/>
              <w:bottom w:val="single" w:sz="4" w:space="0" w:color="auto"/>
              <w:right w:val="nil"/>
            </w:tcBorders>
          </w:tcPr>
          <w:p w:rsidR="00437E05" w:rsidRDefault="00437E05">
            <w:pPr>
              <w:rPr>
                <w:rFonts w:ascii="Times New Roman" w:hAnsi="Times New Roman" w:cs="Times New Roman"/>
                <w:i/>
              </w:rPr>
            </w:pPr>
          </w:p>
          <w:p w:rsidR="00612CD3" w:rsidRPr="00437E05" w:rsidRDefault="00612CD3">
            <w:pPr>
              <w:rPr>
                <w:rFonts w:ascii="Times New Roman" w:hAnsi="Times New Roman" w:cs="Times New Roman"/>
                <w:i/>
              </w:rPr>
            </w:pPr>
          </w:p>
        </w:tc>
      </w:tr>
      <w:tr w:rsidR="00D06F4F" w:rsidRPr="00442AA5" w:rsidTr="00D06F4F">
        <w:tc>
          <w:tcPr>
            <w:tcW w:w="4644" w:type="dxa"/>
            <w:tcBorders>
              <w:top w:val="single" w:sz="4" w:space="0" w:color="auto"/>
              <w:left w:val="nil"/>
              <w:bottom w:val="nil"/>
              <w:right w:val="nil"/>
            </w:tcBorders>
          </w:tcPr>
          <w:p w:rsidR="00D06F4F" w:rsidRPr="00442AA5" w:rsidRDefault="00D06F4F" w:rsidP="009F5C41">
            <w:pPr>
              <w:rPr>
                <w:rFonts w:ascii="Times New Roman" w:hAnsi="Times New Roman" w:cs="Times New Roman"/>
              </w:rPr>
            </w:pPr>
            <w:r w:rsidRPr="00442AA5">
              <w:rPr>
                <w:rFonts w:ascii="Times New Roman" w:hAnsi="Times New Roman" w:cs="Times New Roman"/>
              </w:rPr>
              <w:t xml:space="preserve">MAYOR </w:t>
            </w:r>
            <w:r w:rsidR="009F5C41">
              <w:rPr>
                <w:rFonts w:ascii="Times New Roman" w:hAnsi="Times New Roman" w:cs="Times New Roman"/>
              </w:rPr>
              <w:t>ANN BUNKA</w:t>
            </w:r>
          </w:p>
        </w:tc>
        <w:tc>
          <w:tcPr>
            <w:tcW w:w="851" w:type="dxa"/>
            <w:tcBorders>
              <w:top w:val="nil"/>
              <w:left w:val="nil"/>
              <w:bottom w:val="nil"/>
              <w:right w:val="nil"/>
            </w:tcBorders>
          </w:tcPr>
          <w:p w:rsidR="00D06F4F" w:rsidRPr="00442AA5" w:rsidRDefault="00D06F4F">
            <w:pPr>
              <w:rPr>
                <w:rFonts w:ascii="Times New Roman" w:hAnsi="Times New Roman" w:cs="Times New Roman"/>
              </w:rPr>
            </w:pPr>
          </w:p>
        </w:tc>
        <w:tc>
          <w:tcPr>
            <w:tcW w:w="4081" w:type="dxa"/>
            <w:tcBorders>
              <w:top w:val="single" w:sz="4" w:space="0" w:color="auto"/>
              <w:left w:val="nil"/>
              <w:bottom w:val="nil"/>
              <w:right w:val="nil"/>
            </w:tcBorders>
          </w:tcPr>
          <w:p w:rsidR="00D06F4F" w:rsidRPr="00442AA5" w:rsidRDefault="00D06F4F">
            <w:pPr>
              <w:rPr>
                <w:rFonts w:ascii="Times New Roman" w:hAnsi="Times New Roman" w:cs="Times New Roman"/>
              </w:rPr>
            </w:pPr>
            <w:r w:rsidRPr="00442AA5">
              <w:rPr>
                <w:rFonts w:ascii="Times New Roman" w:hAnsi="Times New Roman" w:cs="Times New Roman"/>
              </w:rPr>
              <w:t>ADMINISTRATOR</w:t>
            </w:r>
          </w:p>
        </w:tc>
      </w:tr>
      <w:tr w:rsidR="00D06F4F" w:rsidRPr="00442AA5" w:rsidTr="00D06F4F">
        <w:tc>
          <w:tcPr>
            <w:tcW w:w="4644" w:type="dxa"/>
            <w:tcBorders>
              <w:top w:val="nil"/>
              <w:left w:val="nil"/>
              <w:bottom w:val="nil"/>
              <w:right w:val="nil"/>
            </w:tcBorders>
          </w:tcPr>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r w:rsidRPr="00442AA5">
              <w:rPr>
                <w:rFonts w:ascii="Times New Roman" w:hAnsi="Times New Roman" w:cs="Times New Roman"/>
              </w:rPr>
              <w:t xml:space="preserve">CERTIFIED A TRUE COPY OF </w:t>
            </w:r>
          </w:p>
          <w:p w:rsidR="00D06F4F" w:rsidRPr="00442AA5" w:rsidRDefault="00D06F4F" w:rsidP="00B54CF6">
            <w:pPr>
              <w:rPr>
                <w:rFonts w:ascii="Times New Roman" w:hAnsi="Times New Roman" w:cs="Times New Roman"/>
              </w:rPr>
            </w:pPr>
            <w:r w:rsidRPr="00442AA5">
              <w:rPr>
                <w:rFonts w:ascii="Times New Roman" w:hAnsi="Times New Roman" w:cs="Times New Roman"/>
              </w:rPr>
              <w:t xml:space="preserve">BYLAW NO. </w:t>
            </w:r>
            <w:r w:rsidR="00843563">
              <w:rPr>
                <w:rFonts w:ascii="Times New Roman" w:hAnsi="Times New Roman" w:cs="Times New Roman"/>
              </w:rPr>
              <w:t>6</w:t>
            </w:r>
            <w:r w:rsidR="00976E94">
              <w:rPr>
                <w:rFonts w:ascii="Times New Roman" w:hAnsi="Times New Roman" w:cs="Times New Roman"/>
              </w:rPr>
              <w:t>94</w:t>
            </w:r>
            <w:r w:rsidRPr="00442AA5">
              <w:rPr>
                <w:rFonts w:ascii="Times New Roman" w:hAnsi="Times New Roman" w:cs="Times New Roman"/>
              </w:rPr>
              <w:t>, 20</w:t>
            </w:r>
            <w:r w:rsidR="006733D6">
              <w:rPr>
                <w:rFonts w:ascii="Times New Roman" w:hAnsi="Times New Roman" w:cs="Times New Roman"/>
              </w:rPr>
              <w:t>1</w:t>
            </w:r>
            <w:r w:rsidR="00976E94">
              <w:rPr>
                <w:rFonts w:ascii="Times New Roman" w:hAnsi="Times New Roman" w:cs="Times New Roman"/>
              </w:rPr>
              <w:t>5</w:t>
            </w:r>
          </w:p>
        </w:tc>
        <w:tc>
          <w:tcPr>
            <w:tcW w:w="851" w:type="dxa"/>
            <w:tcBorders>
              <w:top w:val="nil"/>
              <w:left w:val="nil"/>
              <w:bottom w:val="nil"/>
              <w:right w:val="nil"/>
            </w:tcBorders>
          </w:tcPr>
          <w:p w:rsidR="00D06F4F" w:rsidRPr="00442AA5" w:rsidRDefault="00D06F4F">
            <w:pPr>
              <w:rPr>
                <w:rFonts w:ascii="Times New Roman" w:hAnsi="Times New Roman" w:cs="Times New Roman"/>
              </w:rPr>
            </w:pPr>
          </w:p>
        </w:tc>
        <w:tc>
          <w:tcPr>
            <w:tcW w:w="4081" w:type="dxa"/>
            <w:tcBorders>
              <w:top w:val="nil"/>
              <w:left w:val="nil"/>
              <w:bottom w:val="nil"/>
              <w:right w:val="nil"/>
            </w:tcBorders>
          </w:tcPr>
          <w:p w:rsidR="00D06F4F" w:rsidRPr="00442AA5" w:rsidRDefault="00D06F4F">
            <w:pPr>
              <w:rPr>
                <w:rFonts w:ascii="Times New Roman" w:hAnsi="Times New Roman" w:cs="Times New Roman"/>
              </w:rPr>
            </w:pPr>
          </w:p>
        </w:tc>
      </w:tr>
      <w:tr w:rsidR="00D06F4F" w:rsidRPr="00442AA5" w:rsidTr="00D06F4F">
        <w:tc>
          <w:tcPr>
            <w:tcW w:w="4644" w:type="dxa"/>
            <w:tcBorders>
              <w:top w:val="nil"/>
              <w:left w:val="nil"/>
              <w:bottom w:val="single" w:sz="4" w:space="0" w:color="auto"/>
              <w:right w:val="nil"/>
            </w:tcBorders>
          </w:tcPr>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42AA5" w:rsidRDefault="00D06F4F">
            <w:pPr>
              <w:rPr>
                <w:rFonts w:ascii="Times New Roman" w:hAnsi="Times New Roman" w:cs="Times New Roman"/>
              </w:rPr>
            </w:pPr>
          </w:p>
          <w:p w:rsidR="00D06F4F" w:rsidRPr="00437E05" w:rsidRDefault="00D06F4F">
            <w:pPr>
              <w:rPr>
                <w:rFonts w:ascii="Times New Roman" w:hAnsi="Times New Roman" w:cs="Times New Roman"/>
                <w:i/>
              </w:rPr>
            </w:pPr>
          </w:p>
        </w:tc>
        <w:tc>
          <w:tcPr>
            <w:tcW w:w="851" w:type="dxa"/>
            <w:tcBorders>
              <w:top w:val="nil"/>
              <w:left w:val="nil"/>
              <w:bottom w:val="nil"/>
              <w:right w:val="nil"/>
            </w:tcBorders>
          </w:tcPr>
          <w:p w:rsidR="00D06F4F" w:rsidRPr="00442AA5" w:rsidRDefault="00D06F4F">
            <w:pPr>
              <w:rPr>
                <w:rFonts w:ascii="Times New Roman" w:hAnsi="Times New Roman" w:cs="Times New Roman"/>
              </w:rPr>
            </w:pPr>
          </w:p>
        </w:tc>
        <w:tc>
          <w:tcPr>
            <w:tcW w:w="4081" w:type="dxa"/>
            <w:tcBorders>
              <w:top w:val="nil"/>
              <w:left w:val="nil"/>
              <w:bottom w:val="nil"/>
              <w:right w:val="nil"/>
            </w:tcBorders>
          </w:tcPr>
          <w:p w:rsidR="00D06F4F" w:rsidRPr="00442AA5" w:rsidRDefault="00D06F4F">
            <w:pPr>
              <w:rPr>
                <w:rFonts w:ascii="Times New Roman" w:hAnsi="Times New Roman" w:cs="Times New Roman"/>
              </w:rPr>
            </w:pPr>
          </w:p>
        </w:tc>
      </w:tr>
      <w:tr w:rsidR="00D06F4F" w:rsidRPr="00442AA5" w:rsidTr="00D06F4F">
        <w:tc>
          <w:tcPr>
            <w:tcW w:w="4644" w:type="dxa"/>
            <w:tcBorders>
              <w:top w:val="single" w:sz="4" w:space="0" w:color="auto"/>
              <w:left w:val="nil"/>
              <w:bottom w:val="nil"/>
              <w:right w:val="nil"/>
            </w:tcBorders>
          </w:tcPr>
          <w:p w:rsidR="00D06F4F" w:rsidRPr="00442AA5" w:rsidRDefault="009C6315">
            <w:pPr>
              <w:rPr>
                <w:rFonts w:ascii="Times New Roman" w:hAnsi="Times New Roman" w:cs="Times New Roman"/>
              </w:rPr>
            </w:pPr>
            <w:r>
              <w:rPr>
                <w:rFonts w:ascii="Times New Roman" w:hAnsi="Times New Roman" w:cs="Times New Roman"/>
              </w:rPr>
              <w:t>CORPORATE OFFICER</w:t>
            </w:r>
          </w:p>
        </w:tc>
        <w:tc>
          <w:tcPr>
            <w:tcW w:w="851" w:type="dxa"/>
            <w:tcBorders>
              <w:top w:val="nil"/>
              <w:left w:val="nil"/>
              <w:bottom w:val="nil"/>
              <w:right w:val="nil"/>
            </w:tcBorders>
          </w:tcPr>
          <w:p w:rsidR="00D06F4F" w:rsidRPr="00442AA5" w:rsidRDefault="00D06F4F">
            <w:pPr>
              <w:rPr>
                <w:rFonts w:ascii="Times New Roman" w:hAnsi="Times New Roman" w:cs="Times New Roman"/>
              </w:rPr>
            </w:pPr>
          </w:p>
        </w:tc>
        <w:tc>
          <w:tcPr>
            <w:tcW w:w="4081" w:type="dxa"/>
            <w:tcBorders>
              <w:top w:val="nil"/>
              <w:left w:val="nil"/>
              <w:bottom w:val="nil"/>
              <w:right w:val="nil"/>
            </w:tcBorders>
          </w:tcPr>
          <w:p w:rsidR="00D06F4F" w:rsidRPr="00442AA5" w:rsidRDefault="00D06F4F">
            <w:pPr>
              <w:rPr>
                <w:rFonts w:ascii="Times New Roman" w:hAnsi="Times New Roman" w:cs="Times New Roman"/>
              </w:rPr>
            </w:pPr>
          </w:p>
        </w:tc>
      </w:tr>
    </w:tbl>
    <w:p w:rsidR="00447A8B" w:rsidRPr="00442AA5" w:rsidRDefault="00447A8B">
      <w:pPr>
        <w:rPr>
          <w:rFonts w:ascii="Times New Roman" w:hAnsi="Times New Roman" w:cs="Times New Roman"/>
        </w:rPr>
      </w:pPr>
    </w:p>
    <w:p w:rsidR="001123C1" w:rsidRDefault="00447A8B">
      <w:pPr>
        <w:rPr>
          <w:rFonts w:ascii="Times New Roman" w:hAnsi="Times New Roman" w:cs="Times New Roman"/>
        </w:rPr>
        <w:sectPr w:rsidR="001123C1" w:rsidSect="008E0F49">
          <w:headerReference w:type="even" r:id="rId8"/>
          <w:headerReference w:type="default" r:id="rId9"/>
          <w:footerReference w:type="even" r:id="rId10"/>
          <w:footerReference w:type="default" r:id="rId11"/>
          <w:headerReference w:type="first" r:id="rId12"/>
          <w:footerReference w:type="first" r:id="rId13"/>
          <w:pgSz w:w="12240" w:h="20160" w:code="5"/>
          <w:pgMar w:top="284" w:right="1440" w:bottom="426" w:left="1440" w:header="283" w:footer="708" w:gutter="0"/>
          <w:cols w:space="708"/>
          <w:titlePg/>
          <w:docGrid w:linePitch="360"/>
        </w:sectPr>
      </w:pPr>
      <w:r w:rsidRPr="00442AA5">
        <w:rPr>
          <w:rFonts w:ascii="Times New Roman" w:hAnsi="Times New Roman" w:cs="Times New Roman"/>
        </w:rPr>
        <w:br w:type="page"/>
      </w:r>
    </w:p>
    <w:p w:rsidR="00447A8B" w:rsidRPr="00442AA5" w:rsidRDefault="00447A8B">
      <w:pPr>
        <w:rPr>
          <w:rFonts w:ascii="Times New Roman" w:hAnsi="Times New Roman" w:cs="Times New Roman"/>
        </w:rPr>
      </w:pPr>
    </w:p>
    <w:tbl>
      <w:tblPr>
        <w:tblW w:w="10209" w:type="dxa"/>
        <w:tblInd w:w="93" w:type="dxa"/>
        <w:tblLook w:val="04A0"/>
      </w:tblPr>
      <w:tblGrid>
        <w:gridCol w:w="2709"/>
        <w:gridCol w:w="1500"/>
        <w:gridCol w:w="1500"/>
        <w:gridCol w:w="1500"/>
        <w:gridCol w:w="1500"/>
        <w:gridCol w:w="1500"/>
      </w:tblGrid>
      <w:tr w:rsidR="00791DAB" w:rsidRPr="00791DAB" w:rsidTr="00791DAB">
        <w:trPr>
          <w:trHeight w:val="255"/>
        </w:trPr>
        <w:tc>
          <w:tcPr>
            <w:tcW w:w="2709"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bookmarkStart w:id="0" w:name="_GoBack"/>
            <w:bookmarkEnd w:id="0"/>
          </w:p>
        </w:tc>
        <w:tc>
          <w:tcPr>
            <w:tcW w:w="1500"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jc w:val="center"/>
              <w:rPr>
                <w:rFonts w:ascii="Calibri" w:eastAsia="Times New Roman" w:hAnsi="Calibri" w:cs="Calibri"/>
                <w:color w:val="000000"/>
                <w:sz w:val="20"/>
                <w:szCs w:val="20"/>
                <w:lang w:val="en-CA" w:eastAsia="en-CA"/>
              </w:rPr>
            </w:pPr>
          </w:p>
        </w:tc>
      </w:tr>
      <w:tr w:rsidR="00791DAB" w:rsidRPr="00791DAB" w:rsidTr="00791DAB">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Revenues</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2015</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2016</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2017</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2018</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2019</w:t>
            </w: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Taxation</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Property Taxes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230,262.82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264,802.25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291,282.47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320,410.72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352,451.79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Parcel Taxes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 </w:t>
            </w: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Grants in Lieu of Taxes</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10,985.89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10,985.89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10,985.89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10,985.89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10,985.89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Taxation &amp; Grants in Lieu</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241,698.71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276,238.14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302,718.36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331,846.61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363,887.68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Fees and Charges</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Sale of Services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136,190.00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136,190.00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136,190.00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136,190.00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136,190.00 </w:t>
            </w:r>
          </w:p>
        </w:tc>
      </w:tr>
      <w:tr w:rsidR="00791DAB" w:rsidRPr="00791DAB" w:rsidTr="00791DAB">
        <w:trPr>
          <w:trHeight w:val="255"/>
        </w:trPr>
        <w:tc>
          <w:tcPr>
            <w:tcW w:w="2709" w:type="dxa"/>
            <w:tcBorders>
              <w:top w:val="nil"/>
              <w:left w:val="nil"/>
              <w:bottom w:val="nil"/>
              <w:right w:val="nil"/>
            </w:tcBorders>
            <w:shd w:val="clear" w:color="auto" w:fill="auto"/>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Licenses, permits, development fees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15,150.00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15,150.00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15,150.00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15,150.00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15,150.00 </w:t>
            </w: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User Fees - Water</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114,415.00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114,415.00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114,415.00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114,415.00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114,415.00 </w:t>
            </w:r>
          </w:p>
        </w:tc>
      </w:tr>
      <w:tr w:rsidR="00791DAB" w:rsidRPr="00791DAB" w:rsidTr="00791DAB">
        <w:trPr>
          <w:trHeight w:val="315"/>
        </w:trPr>
        <w:tc>
          <w:tcPr>
            <w:tcW w:w="2709" w:type="dxa"/>
            <w:tcBorders>
              <w:top w:val="nil"/>
              <w:left w:val="nil"/>
              <w:bottom w:val="nil"/>
              <w:right w:val="nil"/>
            </w:tcBorders>
            <w:shd w:val="clear" w:color="auto" w:fill="auto"/>
            <w:vAlign w:val="bottom"/>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Fees and Charges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265,755.00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265,755.00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265,755.00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265,755.00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265,755.00 </w:t>
            </w:r>
          </w:p>
        </w:tc>
      </w:tr>
      <w:tr w:rsidR="00791DAB" w:rsidRPr="00791DAB" w:rsidTr="00791DAB">
        <w:trPr>
          <w:trHeight w:val="315"/>
        </w:trPr>
        <w:tc>
          <w:tcPr>
            <w:tcW w:w="2709" w:type="dxa"/>
            <w:tcBorders>
              <w:top w:val="nil"/>
              <w:left w:val="nil"/>
              <w:bottom w:val="nil"/>
              <w:right w:val="nil"/>
            </w:tcBorders>
            <w:shd w:val="clear" w:color="auto" w:fill="auto"/>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Interest &amp; penalties on taxes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7,000.00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Other Revenue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28,200.00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27,700.00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27,700.00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27,700.00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27,700.00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Government Grants and Revenues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481,239.61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400,161.05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400,161.05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403,794.72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1,408,794.72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r>
      <w:tr w:rsidR="00791DAB" w:rsidRPr="00791DAB" w:rsidTr="00791DAB">
        <w:trPr>
          <w:trHeight w:val="25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Transfer from Reserve Funds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General Reserve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105,500.00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15,000.00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Fire Reserve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75,000.00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11,000.00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Gas Tax Reserve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49,000.00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50,000.00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360,000.00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Heritage Reserve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r>
      <w:tr w:rsidR="00791DAB" w:rsidRPr="00791DAB" w:rsidTr="00791DAB">
        <w:trPr>
          <w:trHeight w:val="255"/>
        </w:trPr>
        <w:tc>
          <w:tcPr>
            <w:tcW w:w="2709"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Water Reserve</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Transfer from Reserves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254,500.00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125,000.00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31,000.00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386,000.00 </w:t>
            </w: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Fire Protection Contracts</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54,709.95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71,249.66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74,396.73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77,543.80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81,320.29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Other Transfers and Grants</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210,700.00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6,700.00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6,700.00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6,700.00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6,700.00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Borrowing for Capital</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100,000.00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155,000.00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r>
      <w:tr w:rsidR="00791DAB" w:rsidRPr="00791DAB" w:rsidTr="00791DAB">
        <w:trPr>
          <w:trHeight w:val="330"/>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Transfer from Accumulated Surplus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33,537.71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17,661.61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6,171.42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r>
      <w:tr w:rsidR="00791DAB" w:rsidRPr="00791DAB" w:rsidTr="00791DAB">
        <w:trPr>
          <w:trHeight w:val="330"/>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Tax levies for other governments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r>
      <w:tr w:rsidR="00791DAB" w:rsidRPr="00791DAB" w:rsidTr="00791DAB">
        <w:trPr>
          <w:trHeight w:val="315"/>
        </w:trPr>
        <w:tc>
          <w:tcPr>
            <w:tcW w:w="2709"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Total Revenue</w:t>
            </w:r>
          </w:p>
        </w:tc>
        <w:tc>
          <w:tcPr>
            <w:tcW w:w="1500"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2,019,035.58 </w:t>
            </w:r>
          </w:p>
        </w:tc>
        <w:tc>
          <w:tcPr>
            <w:tcW w:w="1500"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1,694,160.06 </w:t>
            </w:r>
          </w:p>
        </w:tc>
        <w:tc>
          <w:tcPr>
            <w:tcW w:w="1500"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1,466,297.17 </w:t>
            </w:r>
          </w:p>
        </w:tc>
        <w:tc>
          <w:tcPr>
            <w:tcW w:w="1500"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1,493,034.73 </w:t>
            </w:r>
          </w:p>
        </w:tc>
        <w:tc>
          <w:tcPr>
            <w:tcW w:w="1500" w:type="dxa"/>
            <w:tcBorders>
              <w:top w:val="single" w:sz="4" w:space="0" w:color="auto"/>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2,888,852.29 </w:t>
            </w:r>
          </w:p>
        </w:tc>
      </w:tr>
      <w:tr w:rsidR="00791DAB" w:rsidRPr="00791DAB" w:rsidTr="00791DAB">
        <w:trPr>
          <w:trHeight w:val="270"/>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25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Expenditures</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2015</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2016</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2017</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2018</w:t>
            </w:r>
          </w:p>
        </w:tc>
        <w:tc>
          <w:tcPr>
            <w:tcW w:w="1500" w:type="dxa"/>
            <w:tcBorders>
              <w:top w:val="nil"/>
              <w:left w:val="nil"/>
              <w:bottom w:val="single" w:sz="4" w:space="0" w:color="auto"/>
              <w:right w:val="nil"/>
            </w:tcBorders>
            <w:shd w:val="clear" w:color="auto" w:fill="auto"/>
            <w:vAlign w:val="bottom"/>
            <w:hideMark/>
          </w:tcPr>
          <w:p w:rsidR="00791DAB" w:rsidRPr="00791DAB" w:rsidRDefault="00791DAB" w:rsidP="00791DAB">
            <w:pPr>
              <w:jc w:val="cente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2019</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General Municipal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308,562.00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295,486.24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299,488.96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313,571.74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307,736.18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Fire Protection Service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66,200.00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83,200.00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83,200.00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83,200.00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83,200.00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Other Protective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18,950.00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14,190.00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19,437.20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14,691.82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19,954.07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Transportation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178,500.00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184,950.00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186,433.50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187,951.31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189,504.24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Environmental Health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48,750.00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49,140.00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49,539.30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49,948.13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50,366.73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Development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16,000.00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11,330.00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11,669.90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12,020.00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12,380.60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Recreation and Cultural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206,212.00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191,989.80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193,654.28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195,361.56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197,112.78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Fiscal Services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950.00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950.00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lastRenderedPageBreak/>
              <w:t>Debt Interest</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9,900.00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9,900.00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9,900.00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9,900.00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9,900.00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Debt Principal</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6,653.37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6,653.37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6,653.37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6,653.37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6,653.37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Water Operating Service</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81,800.00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80,585.00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82,423.55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84,317.26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87,267.77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Capital Expenditures</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609,500.00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280,000.00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31,000.00 </w:t>
            </w:r>
          </w:p>
        </w:tc>
        <w:tc>
          <w:tcPr>
            <w:tcW w:w="1500"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1,391,000.00 </w:t>
            </w:r>
          </w:p>
        </w:tc>
      </w:tr>
      <w:tr w:rsidR="00791DAB" w:rsidRPr="00791DAB" w:rsidTr="00791DAB">
        <w:trPr>
          <w:trHeight w:val="315"/>
        </w:trPr>
        <w:tc>
          <w:tcPr>
            <w:tcW w:w="2709"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Transfer to Reserve Funds</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General Reserve</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7,782.49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34,090.01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Fire Reserve</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30,000.00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35,000.00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40,000.00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45,000.00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51,000.00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Gas Tax Reserve</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70,248.61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73,761.05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73,761.05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77,394.72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77,394.72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Heritage Reserve</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   </w:t>
            </w: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Water Reserve</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25,115.00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35,330.00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33,491.45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31,597.74 </w:t>
            </w:r>
          </w:p>
        </w:tc>
        <w:tc>
          <w:tcPr>
            <w:tcW w:w="1500" w:type="dxa"/>
            <w:tcBorders>
              <w:top w:val="nil"/>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28,647.23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Transfer to Reserve Funds</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125,363.61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144,091.05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147,252.50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161,774.95 </w:t>
            </w: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191,131.96 </w:t>
            </w:r>
          </w:p>
        </w:tc>
      </w:tr>
      <w:tr w:rsidR="00791DAB" w:rsidRPr="00791DAB" w:rsidTr="00791DAB">
        <w:trPr>
          <w:trHeight w:val="315"/>
        </w:trPr>
        <w:tc>
          <w:tcPr>
            <w:tcW w:w="2709" w:type="dxa"/>
            <w:tcBorders>
              <w:top w:val="nil"/>
              <w:left w:val="nil"/>
              <w:bottom w:val="nil"/>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315"/>
        </w:trPr>
        <w:tc>
          <w:tcPr>
            <w:tcW w:w="2709" w:type="dxa"/>
            <w:tcBorders>
              <w:top w:val="nil"/>
              <w:left w:val="nil"/>
              <w:bottom w:val="single" w:sz="4" w:space="0" w:color="auto"/>
              <w:right w:val="nil"/>
            </w:tcBorders>
            <w:shd w:val="clear" w:color="auto" w:fill="auto"/>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Taxes Collected for Other Govt’s</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c>
          <w:tcPr>
            <w:tcW w:w="1500" w:type="dxa"/>
            <w:tcBorders>
              <w:top w:val="nil"/>
              <w:left w:val="nil"/>
              <w:bottom w:val="single" w:sz="4"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341,694.60 </w:t>
            </w:r>
          </w:p>
        </w:tc>
      </w:tr>
      <w:tr w:rsidR="00791DAB" w:rsidRPr="00791DAB" w:rsidTr="00791DAB">
        <w:trPr>
          <w:trHeight w:val="315"/>
        </w:trPr>
        <w:tc>
          <w:tcPr>
            <w:tcW w:w="2709"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Total Expenditures</w:t>
            </w:r>
          </w:p>
        </w:tc>
        <w:tc>
          <w:tcPr>
            <w:tcW w:w="1500"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2,019,035.58 </w:t>
            </w:r>
          </w:p>
        </w:tc>
        <w:tc>
          <w:tcPr>
            <w:tcW w:w="1500"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1,694,160.06 </w:t>
            </w:r>
          </w:p>
        </w:tc>
        <w:tc>
          <w:tcPr>
            <w:tcW w:w="1500"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1,466,297.17 </w:t>
            </w:r>
          </w:p>
        </w:tc>
        <w:tc>
          <w:tcPr>
            <w:tcW w:w="1500"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1,493,034.73 </w:t>
            </w:r>
          </w:p>
        </w:tc>
        <w:tc>
          <w:tcPr>
            <w:tcW w:w="1500" w:type="dxa"/>
            <w:tcBorders>
              <w:top w:val="nil"/>
              <w:left w:val="nil"/>
              <w:bottom w:val="double" w:sz="6" w:space="0" w:color="auto"/>
              <w:right w:val="nil"/>
            </w:tcBorders>
            <w:shd w:val="clear" w:color="auto" w:fill="auto"/>
            <w:hideMark/>
          </w:tcPr>
          <w:p w:rsidR="00791DAB" w:rsidRPr="00791DAB" w:rsidRDefault="00791DAB" w:rsidP="00791DAB">
            <w:pPr>
              <w:jc w:val="right"/>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2,888,852.30 </w:t>
            </w:r>
          </w:p>
        </w:tc>
      </w:tr>
      <w:tr w:rsidR="00791DAB" w:rsidRPr="00791DAB" w:rsidTr="00791DAB">
        <w:trPr>
          <w:trHeight w:val="270"/>
        </w:trPr>
        <w:tc>
          <w:tcPr>
            <w:tcW w:w="2709"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c>
          <w:tcPr>
            <w:tcW w:w="1500" w:type="dxa"/>
            <w:tcBorders>
              <w:top w:val="nil"/>
              <w:left w:val="nil"/>
              <w:bottom w:val="nil"/>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p>
        </w:tc>
      </w:tr>
      <w:tr w:rsidR="00791DAB" w:rsidRPr="00791DAB" w:rsidTr="00791DAB">
        <w:trPr>
          <w:trHeight w:val="255"/>
        </w:trPr>
        <w:tc>
          <w:tcPr>
            <w:tcW w:w="2709"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jc w:val="right"/>
              <w:rPr>
                <w:rFonts w:ascii="Calibri" w:eastAsia="Times New Roman" w:hAnsi="Calibri" w:cs="Calibri"/>
                <w:b/>
                <w:bCs/>
                <w:color w:val="000000"/>
                <w:sz w:val="20"/>
                <w:szCs w:val="20"/>
                <w:lang w:val="en-CA" w:eastAsia="en-CA"/>
              </w:rPr>
            </w:pPr>
            <w:r w:rsidRPr="00791DAB">
              <w:rPr>
                <w:rFonts w:ascii="Calibri" w:eastAsia="Times New Roman" w:hAnsi="Calibri" w:cs="Calibri"/>
                <w:b/>
                <w:bCs/>
                <w:color w:val="000000"/>
                <w:sz w:val="20"/>
                <w:szCs w:val="20"/>
                <w:lang w:val="en-CA" w:eastAsia="en-CA"/>
              </w:rPr>
              <w:t>Surplus/Deficit</w:t>
            </w:r>
          </w:p>
        </w:tc>
        <w:tc>
          <w:tcPr>
            <w:tcW w:w="1500"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0.00 </w:t>
            </w:r>
          </w:p>
        </w:tc>
        <w:tc>
          <w:tcPr>
            <w:tcW w:w="1500"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0.00 </w:t>
            </w:r>
          </w:p>
        </w:tc>
        <w:tc>
          <w:tcPr>
            <w:tcW w:w="1500"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0.00 </w:t>
            </w:r>
          </w:p>
        </w:tc>
        <w:tc>
          <w:tcPr>
            <w:tcW w:w="1500"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0.00 </w:t>
            </w:r>
          </w:p>
        </w:tc>
        <w:tc>
          <w:tcPr>
            <w:tcW w:w="1500" w:type="dxa"/>
            <w:tcBorders>
              <w:top w:val="single" w:sz="4" w:space="0" w:color="auto"/>
              <w:left w:val="nil"/>
              <w:bottom w:val="single" w:sz="4" w:space="0" w:color="auto"/>
              <w:right w:val="nil"/>
            </w:tcBorders>
            <w:shd w:val="clear" w:color="auto" w:fill="auto"/>
            <w:noWrap/>
            <w:vAlign w:val="bottom"/>
            <w:hideMark/>
          </w:tcPr>
          <w:p w:rsidR="00791DAB" w:rsidRPr="00791DAB" w:rsidRDefault="00791DAB" w:rsidP="00791DAB">
            <w:pPr>
              <w:rPr>
                <w:rFonts w:ascii="Calibri" w:eastAsia="Times New Roman" w:hAnsi="Calibri" w:cs="Calibri"/>
                <w:color w:val="000000"/>
                <w:sz w:val="20"/>
                <w:szCs w:val="20"/>
                <w:lang w:val="en-CA" w:eastAsia="en-CA"/>
              </w:rPr>
            </w:pPr>
            <w:r w:rsidRPr="00791DAB">
              <w:rPr>
                <w:rFonts w:ascii="Calibri" w:eastAsia="Times New Roman" w:hAnsi="Calibri" w:cs="Calibri"/>
                <w:color w:val="000000"/>
                <w:sz w:val="20"/>
                <w:szCs w:val="20"/>
                <w:lang w:val="en-CA" w:eastAsia="en-CA"/>
              </w:rPr>
              <w:t xml:space="preserve">-                     0.01 </w:t>
            </w:r>
          </w:p>
        </w:tc>
      </w:tr>
    </w:tbl>
    <w:p w:rsidR="00BE38DE" w:rsidRPr="00442AA5" w:rsidRDefault="00BE38DE">
      <w:pPr>
        <w:rPr>
          <w:rFonts w:ascii="Times New Roman" w:hAnsi="Times New Roman" w:cs="Times New Roman"/>
        </w:rPr>
      </w:pPr>
    </w:p>
    <w:p w:rsidR="00C814FE" w:rsidRDefault="00BE38DE">
      <w:pPr>
        <w:rPr>
          <w:rFonts w:ascii="Times New Roman" w:hAnsi="Times New Roman" w:cs="Times New Roman"/>
        </w:rPr>
        <w:sectPr w:rsidR="00C814FE" w:rsidSect="008E0F49">
          <w:headerReference w:type="first" r:id="rId14"/>
          <w:pgSz w:w="12240" w:h="20160" w:code="5"/>
          <w:pgMar w:top="284" w:right="1440" w:bottom="426" w:left="1440" w:header="283" w:footer="708" w:gutter="0"/>
          <w:cols w:space="708"/>
          <w:titlePg/>
          <w:docGrid w:linePitch="360"/>
        </w:sectPr>
      </w:pPr>
      <w:r w:rsidRPr="00442AA5">
        <w:rPr>
          <w:rFonts w:ascii="Times New Roman" w:hAnsi="Times New Roman" w:cs="Times New Roman"/>
        </w:rPr>
        <w:br w:type="page"/>
      </w:r>
    </w:p>
    <w:p w:rsidR="000B7169" w:rsidRDefault="000B7169">
      <w:pPr>
        <w:rPr>
          <w:rFonts w:ascii="Times New Roman" w:hAnsi="Times New Roman" w:cs="Times New Roman"/>
        </w:rPr>
      </w:pPr>
    </w:p>
    <w:p w:rsidR="000B7169" w:rsidRPr="00E3370F" w:rsidRDefault="000B7169" w:rsidP="000B7169">
      <w:pPr>
        <w:jc w:val="center"/>
        <w:rPr>
          <w:rFonts w:ascii="Times New Roman" w:hAnsi="Times New Roman" w:cs="Times New Roman"/>
        </w:rPr>
      </w:pPr>
      <w:r w:rsidRPr="00E3370F">
        <w:rPr>
          <w:rFonts w:ascii="Times New Roman" w:hAnsi="Times New Roman" w:cs="Times New Roman"/>
        </w:rPr>
        <w:t>Revenue Disclosure Requirements Policy</w:t>
      </w:r>
    </w:p>
    <w:p w:rsidR="000B7169" w:rsidRPr="00E3370F" w:rsidRDefault="000B7169" w:rsidP="000B7169">
      <w:pPr>
        <w:rPr>
          <w:rFonts w:ascii="Times New Roman" w:hAnsi="Times New Roman" w:cs="Times New Roman"/>
          <w:b/>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Total Revenues:</w:t>
      </w:r>
    </w:p>
    <w:p w:rsidR="000B7169" w:rsidRPr="00E3370F" w:rsidRDefault="000B7169" w:rsidP="000B7169">
      <w:pPr>
        <w:rPr>
          <w:rFonts w:ascii="Times New Roman" w:hAnsi="Times New Roman" w:cs="Times New Roman"/>
        </w:rPr>
      </w:pPr>
      <w:r w:rsidRPr="00E3370F">
        <w:rPr>
          <w:rFonts w:ascii="Times New Roman" w:hAnsi="Times New Roman" w:cs="Times New Roman"/>
        </w:rPr>
        <w:t>Council recognizes that changes in one revenue source may affect decisions relating to other sources and that Village revenues are derived from the following sources: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Municipal property taxes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Grants in lieu of taxes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User fees and charges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Government transfers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Utility fees and charges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Return on investments</w:t>
      </w:r>
    </w:p>
    <w:p w:rsidR="000B7169" w:rsidRPr="00E3370F" w:rsidRDefault="000B7169" w:rsidP="000B7169">
      <w:pPr>
        <w:pStyle w:val="ListParagraph"/>
        <w:numPr>
          <w:ilvl w:val="0"/>
          <w:numId w:val="1"/>
        </w:numPr>
        <w:rPr>
          <w:rFonts w:ascii="Times New Roman" w:hAnsi="Times New Roman" w:cs="Times New Roman"/>
        </w:rPr>
      </w:pPr>
      <w:r w:rsidRPr="00E3370F">
        <w:rPr>
          <w:rFonts w:ascii="Times New Roman" w:hAnsi="Times New Roman" w:cs="Times New Roman"/>
        </w:rPr>
        <w:t>Other revenues</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Municipal property taxes</w:t>
      </w:r>
    </w:p>
    <w:p w:rsidR="000B7169" w:rsidRPr="00E3370F" w:rsidRDefault="000B7169" w:rsidP="000B7169">
      <w:pPr>
        <w:rPr>
          <w:rFonts w:ascii="Times New Roman" w:hAnsi="Times New Roman" w:cs="Times New Roman"/>
        </w:rPr>
      </w:pPr>
      <w:r w:rsidRPr="00E3370F">
        <w:rPr>
          <w:rFonts w:ascii="Times New Roman" w:hAnsi="Times New Roman" w:cs="Times New Roman"/>
        </w:rPr>
        <w:t>Council will approve Municipal property tax rates annually by considering changes in the assessment base, inflationary factors and economic conditions and costs of providing ongoing and new Village services.</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Grants in lieu of taxes</w:t>
      </w:r>
    </w:p>
    <w:p w:rsidR="000B7169" w:rsidRPr="00E3370F" w:rsidRDefault="000B7169" w:rsidP="000B7169">
      <w:pPr>
        <w:rPr>
          <w:rFonts w:ascii="Times New Roman" w:hAnsi="Times New Roman" w:cs="Times New Roman"/>
        </w:rPr>
      </w:pPr>
      <w:r w:rsidRPr="00E3370F">
        <w:rPr>
          <w:rFonts w:ascii="Times New Roman" w:hAnsi="Times New Roman" w:cs="Times New Roman"/>
        </w:rPr>
        <w:t>Grants in lieu of taxes will be determined in accordance with the applicable Statutes and Acts regulating these revenues.</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Parcel taxes</w:t>
      </w:r>
    </w:p>
    <w:p w:rsidR="000B7169" w:rsidRPr="00E3370F" w:rsidRDefault="000B7169" w:rsidP="000B7169">
      <w:pPr>
        <w:rPr>
          <w:rFonts w:ascii="Times New Roman" w:hAnsi="Times New Roman" w:cs="Times New Roman"/>
        </w:rPr>
      </w:pPr>
      <w:r w:rsidRPr="00E3370F">
        <w:rPr>
          <w:rFonts w:ascii="Times New Roman" w:hAnsi="Times New Roman" w:cs="Times New Roman"/>
        </w:rPr>
        <w:t>Parcel taxes will be levied in accordance with the Community Charter if and when a service is established that requires this type of tax to be imposed.</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User fees and charges</w:t>
      </w:r>
    </w:p>
    <w:p w:rsidR="000B7169" w:rsidRPr="00E3370F" w:rsidRDefault="000B7169" w:rsidP="000B7169">
      <w:pPr>
        <w:rPr>
          <w:rFonts w:ascii="Times New Roman" w:hAnsi="Times New Roman" w:cs="Times New Roman"/>
        </w:rPr>
      </w:pPr>
      <w:r w:rsidRPr="00E3370F">
        <w:rPr>
          <w:rFonts w:ascii="Times New Roman" w:hAnsi="Times New Roman" w:cs="Times New Roman"/>
        </w:rPr>
        <w:t>Authority to impose various fees and charges will be in accordance with regulations under the Community Charter and any other regulating Acts.  A comprehensive review of the Village’s fees and charges will be completed every two years to ensure the Village’s objectives are being addressed.</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Government transfers</w:t>
      </w:r>
    </w:p>
    <w:p w:rsidR="000B7169" w:rsidRPr="00E3370F" w:rsidRDefault="000B7169" w:rsidP="000B7169">
      <w:pPr>
        <w:rPr>
          <w:rFonts w:ascii="Times New Roman" w:hAnsi="Times New Roman" w:cs="Times New Roman"/>
        </w:rPr>
      </w:pPr>
      <w:r w:rsidRPr="00E3370F">
        <w:rPr>
          <w:rFonts w:ascii="Times New Roman" w:hAnsi="Times New Roman" w:cs="Times New Roman"/>
        </w:rPr>
        <w:t xml:space="preserve">The Village will ensure that all government transfers are used in accordance with the terms and conditions attached to the funding and that all reporting requirements are met.  Unconditional government transfers will be considered as general revenue in the financial plan. </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Utility fees and charges</w:t>
      </w:r>
    </w:p>
    <w:p w:rsidR="000B7169" w:rsidRPr="00E3370F" w:rsidRDefault="000B7169" w:rsidP="000B7169">
      <w:pPr>
        <w:rPr>
          <w:rFonts w:ascii="Times New Roman" w:hAnsi="Times New Roman" w:cs="Times New Roman"/>
        </w:rPr>
      </w:pPr>
      <w:r w:rsidRPr="00E3370F">
        <w:rPr>
          <w:rFonts w:ascii="Times New Roman" w:hAnsi="Times New Roman" w:cs="Times New Roman"/>
        </w:rPr>
        <w:t>Utility fees and charges will be levied at rates that consider utility revenue.  Further, combined revenue from these sources will be sufficient to meet service delivery costs and debt servicing within the municipality.</w:t>
      </w:r>
    </w:p>
    <w:p w:rsidR="008E1087" w:rsidRDefault="008E1087"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Return on investments</w:t>
      </w:r>
    </w:p>
    <w:p w:rsidR="000B7169" w:rsidRPr="00E3370F" w:rsidRDefault="000B7169" w:rsidP="000B7169">
      <w:pPr>
        <w:rPr>
          <w:rFonts w:ascii="Times New Roman" w:hAnsi="Times New Roman" w:cs="Times New Roman"/>
        </w:rPr>
      </w:pPr>
      <w:r w:rsidRPr="00E3370F">
        <w:rPr>
          <w:rFonts w:ascii="Times New Roman" w:hAnsi="Times New Roman" w:cs="Times New Roman"/>
        </w:rPr>
        <w:t>Return on investment revenue will be considered general revenue.  Investment revenue generated from restricted revenues will remain within the specified reserve.</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b/>
        </w:rPr>
      </w:pPr>
      <w:r w:rsidRPr="00E3370F">
        <w:rPr>
          <w:rFonts w:ascii="Times New Roman" w:hAnsi="Times New Roman" w:cs="Times New Roman"/>
          <w:b/>
        </w:rPr>
        <w:t>Other revenues</w:t>
      </w:r>
    </w:p>
    <w:p w:rsidR="000B7169" w:rsidRPr="00E3370F" w:rsidRDefault="000B7169" w:rsidP="000B7169">
      <w:pPr>
        <w:rPr>
          <w:rFonts w:ascii="Times New Roman" w:hAnsi="Times New Roman" w:cs="Times New Roman"/>
        </w:rPr>
      </w:pPr>
      <w:r w:rsidRPr="00E3370F">
        <w:rPr>
          <w:rFonts w:ascii="Times New Roman" w:hAnsi="Times New Roman" w:cs="Times New Roman"/>
        </w:rPr>
        <w:t>Other revenues will be considered as general revenue in the financial plan and any restriction placed on these revenues will be determined annually.</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rPr>
      </w:pPr>
      <w:r w:rsidRPr="00E3370F">
        <w:rPr>
          <w:rFonts w:ascii="Times New Roman" w:hAnsi="Times New Roman" w:cs="Times New Roman"/>
          <w:b/>
        </w:rPr>
        <w:t>Borrowing Proceeds</w:t>
      </w:r>
    </w:p>
    <w:p w:rsidR="000B7169" w:rsidRPr="00E3370F" w:rsidRDefault="000B7169" w:rsidP="000B7169">
      <w:pPr>
        <w:rPr>
          <w:rFonts w:ascii="Times New Roman" w:hAnsi="Times New Roman" w:cs="Times New Roman"/>
        </w:rPr>
      </w:pPr>
      <w:r w:rsidRPr="00E3370F">
        <w:rPr>
          <w:rFonts w:ascii="Times New Roman" w:hAnsi="Times New Roman" w:cs="Times New Roman"/>
        </w:rPr>
        <w:t xml:space="preserve">Proceeds from borrowing will be used within the guidelines of the bylaw established to borrow the funds.  The maximum amount of accumulated borrowings will be in accordance with the regulations outlined in the Community Charter.  </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rPr>
      </w:pPr>
      <w:r w:rsidRPr="00E3370F">
        <w:rPr>
          <w:rFonts w:ascii="Times New Roman" w:hAnsi="Times New Roman" w:cs="Times New Roman"/>
          <w:b/>
        </w:rPr>
        <w:t>Distributions of property taxes among the property classes</w:t>
      </w:r>
    </w:p>
    <w:p w:rsidR="000B7169" w:rsidRPr="00E3370F" w:rsidRDefault="000B7169" w:rsidP="000B7169">
      <w:pPr>
        <w:rPr>
          <w:rFonts w:ascii="Times New Roman" w:hAnsi="Times New Roman" w:cs="Times New Roman"/>
        </w:rPr>
      </w:pPr>
      <w:r w:rsidRPr="00E3370F">
        <w:rPr>
          <w:rFonts w:ascii="Times New Roman" w:hAnsi="Times New Roman" w:cs="Times New Roman"/>
        </w:rPr>
        <w:t>Annually, before approving the annual tax rates, Council will consider the amount of tax revenue required in relation to other sources of revenue in funding the cost of ongoing and new Village services.  Tax revenue and ratios between classes will be reviewed with consideration given to changes in the assessment base as a whole as well as changes to the components that make up the base.</w:t>
      </w:r>
    </w:p>
    <w:p w:rsidR="000B7169" w:rsidRPr="00E3370F" w:rsidRDefault="000B7169" w:rsidP="000B7169">
      <w:pPr>
        <w:rPr>
          <w:rFonts w:ascii="Times New Roman" w:hAnsi="Times New Roman" w:cs="Times New Roman"/>
        </w:rPr>
      </w:pPr>
    </w:p>
    <w:p w:rsidR="00C84C3F" w:rsidRDefault="00C84C3F">
      <w:pPr>
        <w:rPr>
          <w:rFonts w:ascii="Times New Roman" w:hAnsi="Times New Roman" w:cs="Times New Roman"/>
          <w:b/>
        </w:rPr>
      </w:pPr>
      <w:r>
        <w:rPr>
          <w:rFonts w:ascii="Times New Roman" w:hAnsi="Times New Roman" w:cs="Times New Roman"/>
          <w:b/>
        </w:rPr>
        <w:br w:type="page"/>
      </w:r>
    </w:p>
    <w:p w:rsidR="000B7169" w:rsidRPr="00E3370F" w:rsidRDefault="000B7169" w:rsidP="000B7169">
      <w:pPr>
        <w:rPr>
          <w:rFonts w:ascii="Times New Roman" w:hAnsi="Times New Roman" w:cs="Times New Roman"/>
        </w:rPr>
      </w:pPr>
      <w:r w:rsidRPr="00E3370F">
        <w:rPr>
          <w:rFonts w:ascii="Times New Roman" w:hAnsi="Times New Roman" w:cs="Times New Roman"/>
          <w:b/>
        </w:rPr>
        <w:lastRenderedPageBreak/>
        <w:t>Permissive tax exemptions</w:t>
      </w:r>
    </w:p>
    <w:p w:rsidR="000B7169" w:rsidRPr="00E3370F" w:rsidRDefault="000B7169" w:rsidP="000B7169">
      <w:pPr>
        <w:rPr>
          <w:rFonts w:ascii="Times New Roman" w:hAnsi="Times New Roman" w:cs="Times New Roman"/>
        </w:rPr>
      </w:pPr>
      <w:r w:rsidRPr="00E3370F">
        <w:rPr>
          <w:rFonts w:ascii="Times New Roman" w:hAnsi="Times New Roman" w:cs="Times New Roman"/>
        </w:rPr>
        <w:t>Permissive tax exemptions will be provided in accordance with the guidelines and regulations contained in the Community Charter.</w:t>
      </w:r>
    </w:p>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rPr>
      </w:pPr>
      <w:r w:rsidRPr="00E3370F">
        <w:rPr>
          <w:rFonts w:ascii="Times New Roman" w:hAnsi="Times New Roman" w:cs="Times New Roman"/>
        </w:rPr>
        <w:t>The objectives and policies as stated above are put forwards and are broad in nature to assist Council in their decision making process.  Rate capping and ratio limitations on property tax were intentionally excluded so as not to restrict Council’s ability to make future decisions.  The assessment base, components of the base, priority and provision of services, as well as the various components of total revenues are all factors that are interrelated.  Setting the annual tax rates after due consideration is given to each of these factors will ensure the process generates the best result.</w:t>
      </w:r>
    </w:p>
    <w:p w:rsidR="000B7169" w:rsidRPr="00E3370F" w:rsidRDefault="000B7169" w:rsidP="000B7169">
      <w:pPr>
        <w:rPr>
          <w:rFonts w:ascii="Times New Roman" w:hAnsi="Times New Roman" w:cs="Times New Roman"/>
        </w:rPr>
      </w:pPr>
    </w:p>
    <w:p w:rsidR="008E1087" w:rsidRDefault="000B7169" w:rsidP="000B7169">
      <w:pPr>
        <w:rPr>
          <w:rFonts w:ascii="Times New Roman" w:hAnsi="Times New Roman" w:cs="Times New Roman"/>
          <w:b/>
        </w:rPr>
      </w:pPr>
      <w:r w:rsidRPr="00E3370F">
        <w:rPr>
          <w:rFonts w:ascii="Times New Roman" w:hAnsi="Times New Roman" w:cs="Times New Roman"/>
        </w:rPr>
        <w:t xml:space="preserve">                               </w:t>
      </w:r>
      <w:r w:rsidRPr="00E3370F">
        <w:rPr>
          <w:rFonts w:ascii="Times New Roman" w:hAnsi="Times New Roman" w:cs="Times New Roman"/>
        </w:rPr>
        <w:tab/>
      </w:r>
      <w:r>
        <w:rPr>
          <w:rFonts w:ascii="Times New Roman" w:hAnsi="Times New Roman" w:cs="Times New Roman"/>
        </w:rPr>
        <w:tab/>
      </w:r>
      <w:r w:rsidR="008D36AE">
        <w:rPr>
          <w:rFonts w:ascii="Times New Roman" w:hAnsi="Times New Roman" w:cs="Times New Roman"/>
        </w:rPr>
        <w:tab/>
      </w:r>
      <w:r w:rsidR="008D36AE">
        <w:rPr>
          <w:rFonts w:ascii="Times New Roman" w:hAnsi="Times New Roman" w:cs="Times New Roman"/>
        </w:rPr>
        <w:tab/>
      </w:r>
      <w:r w:rsidRPr="00E3370F">
        <w:rPr>
          <w:rFonts w:ascii="Times New Roman" w:hAnsi="Times New Roman" w:cs="Times New Roman"/>
          <w:b/>
        </w:rPr>
        <w:t>APPROVED BY COUNCIL</w:t>
      </w:r>
      <w:r w:rsidR="008D36AE">
        <w:rPr>
          <w:rFonts w:ascii="Times New Roman" w:hAnsi="Times New Roman" w:cs="Times New Roman"/>
          <w:b/>
        </w:rPr>
        <w:t xml:space="preserve">:  </w:t>
      </w:r>
      <w:r w:rsidR="008D36AE" w:rsidRPr="008D36AE">
        <w:rPr>
          <w:rFonts w:ascii="Times New Roman" w:hAnsi="Times New Roman" w:cs="Times New Roman"/>
          <w:b/>
        </w:rPr>
        <w:t xml:space="preserve"> </w:t>
      </w:r>
      <w:r w:rsidR="00976E94">
        <w:rPr>
          <w:rFonts w:ascii="Times New Roman" w:hAnsi="Times New Roman" w:cs="Times New Roman"/>
          <w:b/>
        </w:rPr>
        <w:softHyphen/>
      </w:r>
      <w:r w:rsidR="00976E94">
        <w:rPr>
          <w:rFonts w:ascii="Times New Roman" w:hAnsi="Times New Roman" w:cs="Times New Roman"/>
          <w:b/>
        </w:rPr>
        <w:softHyphen/>
      </w:r>
      <w:r w:rsidR="00976E94">
        <w:rPr>
          <w:rFonts w:ascii="Times New Roman" w:hAnsi="Times New Roman" w:cs="Times New Roman"/>
          <w:b/>
        </w:rPr>
        <w:softHyphen/>
        <w:t>_______________</w:t>
      </w:r>
      <w:r w:rsidRPr="00E3370F">
        <w:rPr>
          <w:rFonts w:ascii="Times New Roman" w:hAnsi="Times New Roman" w:cs="Times New Roman"/>
          <w:b/>
        </w:rPr>
        <w:t xml:space="preserve">                             </w:t>
      </w:r>
      <w:r w:rsidR="008D36AE">
        <w:rPr>
          <w:rFonts w:ascii="Times New Roman" w:hAnsi="Times New Roman" w:cs="Times New Roman"/>
          <w:b/>
        </w:rPr>
        <w:t xml:space="preserve">                             </w:t>
      </w:r>
    </w:p>
    <w:p w:rsidR="008E1087" w:rsidRDefault="008E1087" w:rsidP="000B7169">
      <w:pPr>
        <w:rPr>
          <w:rFonts w:ascii="Times New Roman" w:hAnsi="Times New Roman" w:cs="Times New Roman"/>
          <w:b/>
        </w:rPr>
      </w:pPr>
    </w:p>
    <w:p w:rsidR="008E1087" w:rsidRDefault="008E1087" w:rsidP="000B7169">
      <w:pPr>
        <w:rPr>
          <w:rFonts w:ascii="Times New Roman" w:hAnsi="Times New Roman" w:cs="Times New Roman"/>
          <w:u w:val="single"/>
        </w:rPr>
        <w:sectPr w:rsidR="008E1087" w:rsidSect="008E0F49">
          <w:headerReference w:type="default" r:id="rId15"/>
          <w:headerReference w:type="first" r:id="rId16"/>
          <w:pgSz w:w="12240" w:h="20160" w:code="5"/>
          <w:pgMar w:top="284" w:right="1440" w:bottom="426" w:left="1440" w:header="283" w:footer="708" w:gutter="0"/>
          <w:cols w:space="708"/>
          <w:titlePg/>
          <w:docGrid w:linePitch="360"/>
        </w:sectPr>
      </w:pPr>
    </w:p>
    <w:p w:rsidR="008E1087" w:rsidRDefault="008E1087" w:rsidP="000B7169">
      <w:pPr>
        <w:jc w:val="center"/>
        <w:rPr>
          <w:rFonts w:ascii="Times New Roman" w:hAnsi="Times New Roman" w:cs="Times New Roman"/>
        </w:rPr>
      </w:pPr>
    </w:p>
    <w:p w:rsidR="00114145" w:rsidRDefault="00114145" w:rsidP="000B7169">
      <w:pPr>
        <w:jc w:val="center"/>
        <w:rPr>
          <w:rFonts w:ascii="Times New Roman" w:hAnsi="Times New Roman" w:cs="Times New Roman"/>
        </w:rPr>
      </w:pPr>
    </w:p>
    <w:p w:rsidR="00114145" w:rsidRDefault="00114145" w:rsidP="000B7169">
      <w:pPr>
        <w:jc w:val="center"/>
        <w:rPr>
          <w:rFonts w:ascii="Times New Roman" w:hAnsi="Times New Roman" w:cs="Times New Roman"/>
        </w:rPr>
      </w:pPr>
      <w:r>
        <w:rPr>
          <w:rFonts w:ascii="Times New Roman" w:hAnsi="Times New Roman" w:cs="Times New Roman"/>
        </w:rPr>
        <w:t>2015 Tax Rate Analysis</w:t>
      </w:r>
    </w:p>
    <w:p w:rsidR="00114145" w:rsidRDefault="00114145" w:rsidP="000B7169">
      <w:pPr>
        <w:jc w:val="center"/>
        <w:rPr>
          <w:rFonts w:ascii="Times New Roman" w:hAnsi="Times New Roman" w:cs="Times New Roman"/>
        </w:rPr>
      </w:pPr>
    </w:p>
    <w:tbl>
      <w:tblPr>
        <w:tblW w:w="10490" w:type="dxa"/>
        <w:tblInd w:w="-743" w:type="dxa"/>
        <w:tblLook w:val="04A0"/>
      </w:tblPr>
      <w:tblGrid>
        <w:gridCol w:w="1985"/>
        <w:gridCol w:w="1462"/>
        <w:gridCol w:w="1480"/>
        <w:gridCol w:w="1680"/>
        <w:gridCol w:w="1460"/>
        <w:gridCol w:w="1310"/>
        <w:gridCol w:w="1275"/>
      </w:tblGrid>
      <w:tr w:rsidR="00114145" w:rsidRPr="001059C0" w:rsidTr="003D0EE5">
        <w:trPr>
          <w:trHeight w:val="255"/>
        </w:trPr>
        <w:tc>
          <w:tcPr>
            <w:tcW w:w="1985" w:type="dxa"/>
            <w:tcBorders>
              <w:top w:val="nil"/>
              <w:left w:val="single" w:sz="4" w:space="0" w:color="auto"/>
              <w:bottom w:val="single" w:sz="4" w:space="0" w:color="000000"/>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Pr>
                <w:rFonts w:ascii="Calibri" w:eastAsia="Times New Roman" w:hAnsi="Calibri" w:cs="Calibri"/>
                <w:color w:val="000000"/>
                <w:lang w:eastAsia="en-CA"/>
              </w:rPr>
              <w:t xml:space="preserve">Property </w:t>
            </w:r>
            <w:r w:rsidRPr="001059C0">
              <w:rPr>
                <w:rFonts w:ascii="Calibri" w:eastAsia="Times New Roman" w:hAnsi="Calibri" w:cs="Calibri"/>
                <w:color w:val="000000"/>
                <w:lang w:eastAsia="en-CA"/>
              </w:rPr>
              <w:t>Class</w:t>
            </w:r>
          </w:p>
        </w:tc>
        <w:tc>
          <w:tcPr>
            <w:tcW w:w="1358" w:type="dxa"/>
            <w:tcBorders>
              <w:top w:val="nil"/>
              <w:left w:val="nil"/>
              <w:bottom w:val="single" w:sz="4" w:space="0" w:color="000000"/>
              <w:right w:val="nil"/>
            </w:tcBorders>
            <w:shd w:val="clear" w:color="auto" w:fill="auto"/>
            <w:noWrap/>
            <w:vAlign w:val="bottom"/>
            <w:hideMark/>
          </w:tcPr>
          <w:p w:rsidR="00114145" w:rsidRPr="001059C0" w:rsidRDefault="00114145" w:rsidP="003D0EE5">
            <w:pPr>
              <w:jc w:val="center"/>
              <w:rPr>
                <w:rFonts w:ascii="Calibri" w:eastAsia="Times New Roman" w:hAnsi="Calibri" w:cs="Calibri"/>
                <w:bCs/>
                <w:lang w:eastAsia="en-CA"/>
              </w:rPr>
            </w:pPr>
            <w:r w:rsidRPr="001059C0">
              <w:rPr>
                <w:rFonts w:ascii="Calibri" w:eastAsia="Times New Roman" w:hAnsi="Calibri" w:cs="Calibri"/>
                <w:bCs/>
                <w:lang w:eastAsia="en-CA"/>
              </w:rPr>
              <w:t xml:space="preserve"> </w:t>
            </w:r>
            <w:r>
              <w:rPr>
                <w:rFonts w:ascii="Calibri" w:eastAsia="Times New Roman" w:hAnsi="Calibri" w:cs="Calibri"/>
                <w:bCs/>
                <w:lang w:eastAsia="en-CA"/>
              </w:rPr>
              <w:t xml:space="preserve">2015 </w:t>
            </w:r>
            <w:r w:rsidRPr="001059C0">
              <w:rPr>
                <w:rFonts w:ascii="Calibri" w:eastAsia="Times New Roman" w:hAnsi="Calibri" w:cs="Calibri"/>
                <w:bCs/>
                <w:lang w:eastAsia="en-CA"/>
              </w:rPr>
              <w:t xml:space="preserve">Assessments </w:t>
            </w:r>
          </w:p>
        </w:tc>
        <w:tc>
          <w:tcPr>
            <w:tcW w:w="1480" w:type="dxa"/>
            <w:tcBorders>
              <w:top w:val="nil"/>
              <w:left w:val="nil"/>
              <w:bottom w:val="single" w:sz="4" w:space="0" w:color="000000"/>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of </w:t>
            </w:r>
            <w:r w:rsidRPr="001059C0">
              <w:rPr>
                <w:rFonts w:ascii="Calibri" w:eastAsia="Times New Roman" w:hAnsi="Calibri" w:cs="Calibri"/>
                <w:color w:val="000000"/>
                <w:lang w:eastAsia="en-CA"/>
              </w:rPr>
              <w:t xml:space="preserve">Assessments </w:t>
            </w:r>
          </w:p>
        </w:tc>
        <w:tc>
          <w:tcPr>
            <w:tcW w:w="1680" w:type="dxa"/>
            <w:tcBorders>
              <w:top w:val="nil"/>
              <w:left w:val="nil"/>
              <w:bottom w:val="single" w:sz="4" w:space="0" w:color="000000"/>
              <w:right w:val="nil"/>
            </w:tcBorders>
            <w:shd w:val="clear" w:color="auto" w:fill="auto"/>
            <w:noWrap/>
            <w:vAlign w:val="bottom"/>
            <w:hideMark/>
          </w:tcPr>
          <w:p w:rsidR="00114145" w:rsidRPr="001059C0" w:rsidRDefault="00114145" w:rsidP="003D0EE5">
            <w:pPr>
              <w:jc w:val="center"/>
              <w:rPr>
                <w:rFonts w:ascii="Calibri" w:eastAsia="Times New Roman" w:hAnsi="Calibri" w:cs="Calibri"/>
                <w:lang w:eastAsia="en-CA"/>
              </w:rPr>
            </w:pPr>
            <w:r w:rsidRPr="001059C0">
              <w:rPr>
                <w:rFonts w:ascii="Calibri" w:eastAsia="Times New Roman" w:hAnsi="Calibri" w:cs="Calibri"/>
                <w:lang w:eastAsia="en-CA"/>
              </w:rPr>
              <w:t xml:space="preserve"> </w:t>
            </w:r>
            <w:r>
              <w:rPr>
                <w:rFonts w:ascii="Calibri" w:eastAsia="Times New Roman" w:hAnsi="Calibri" w:cs="Calibri"/>
                <w:lang w:eastAsia="en-CA"/>
              </w:rPr>
              <w:t xml:space="preserve">2015 </w:t>
            </w:r>
            <w:r w:rsidRPr="001059C0">
              <w:rPr>
                <w:rFonts w:ascii="Calibri" w:eastAsia="Times New Roman" w:hAnsi="Calibri" w:cs="Calibri"/>
                <w:lang w:eastAsia="en-CA"/>
              </w:rPr>
              <w:t xml:space="preserve">Tax Rate Ratios </w:t>
            </w:r>
          </w:p>
        </w:tc>
        <w:tc>
          <w:tcPr>
            <w:tcW w:w="1460" w:type="dxa"/>
            <w:tcBorders>
              <w:top w:val="nil"/>
              <w:left w:val="nil"/>
              <w:bottom w:val="single" w:sz="4" w:space="0" w:color="000000"/>
              <w:right w:val="nil"/>
            </w:tcBorders>
            <w:shd w:val="clear" w:color="auto" w:fill="auto"/>
            <w:noWrap/>
            <w:vAlign w:val="bottom"/>
            <w:hideMark/>
          </w:tcPr>
          <w:p w:rsidR="00114145" w:rsidRPr="001059C0" w:rsidRDefault="00114145" w:rsidP="003D0EE5">
            <w:pPr>
              <w:jc w:val="center"/>
              <w:rPr>
                <w:rFonts w:ascii="Calibri" w:eastAsia="Times New Roman" w:hAnsi="Calibri" w:cs="Calibri"/>
                <w:bCs/>
                <w:color w:val="000000"/>
                <w:lang w:eastAsia="en-CA"/>
              </w:rPr>
            </w:pPr>
            <w:r>
              <w:rPr>
                <w:rFonts w:ascii="Calibri" w:eastAsia="Times New Roman" w:hAnsi="Calibri" w:cs="Calibri"/>
                <w:bCs/>
                <w:color w:val="000000"/>
                <w:lang w:eastAsia="en-CA"/>
              </w:rPr>
              <w:t xml:space="preserve">2015 </w:t>
            </w:r>
            <w:r w:rsidRPr="001059C0">
              <w:rPr>
                <w:rFonts w:ascii="Calibri" w:eastAsia="Times New Roman" w:hAnsi="Calibri" w:cs="Calibri"/>
                <w:bCs/>
                <w:color w:val="000000"/>
                <w:lang w:eastAsia="en-CA"/>
              </w:rPr>
              <w:t>Tax Rates</w:t>
            </w:r>
          </w:p>
        </w:tc>
        <w:tc>
          <w:tcPr>
            <w:tcW w:w="1252" w:type="dxa"/>
            <w:tcBorders>
              <w:top w:val="nil"/>
              <w:left w:val="nil"/>
              <w:bottom w:val="single" w:sz="4" w:space="0" w:color="000000"/>
              <w:right w:val="nil"/>
            </w:tcBorders>
            <w:shd w:val="clear" w:color="auto" w:fill="auto"/>
            <w:noWrap/>
            <w:vAlign w:val="bottom"/>
            <w:hideMark/>
          </w:tcPr>
          <w:p w:rsidR="00114145" w:rsidRPr="001059C0" w:rsidRDefault="00114145" w:rsidP="003D0EE5">
            <w:pPr>
              <w:jc w:val="center"/>
              <w:rPr>
                <w:rFonts w:ascii="Calibri" w:eastAsia="Times New Roman" w:hAnsi="Calibri" w:cs="Calibri"/>
                <w:bCs/>
                <w:lang w:eastAsia="en-CA"/>
              </w:rPr>
            </w:pPr>
            <w:r>
              <w:rPr>
                <w:rFonts w:ascii="Calibri" w:eastAsia="Times New Roman" w:hAnsi="Calibri" w:cs="Calibri"/>
                <w:bCs/>
                <w:lang w:eastAsia="en-CA"/>
              </w:rPr>
              <w:t>2015</w:t>
            </w:r>
            <w:r w:rsidRPr="001059C0">
              <w:rPr>
                <w:rFonts w:ascii="Calibri" w:eastAsia="Times New Roman" w:hAnsi="Calibri" w:cs="Calibri"/>
                <w:bCs/>
                <w:lang w:eastAsia="en-CA"/>
              </w:rPr>
              <w:t xml:space="preserve"> Taxes </w:t>
            </w:r>
          </w:p>
        </w:tc>
        <w:tc>
          <w:tcPr>
            <w:tcW w:w="1275" w:type="dxa"/>
            <w:tcBorders>
              <w:top w:val="nil"/>
              <w:left w:val="nil"/>
              <w:bottom w:val="single" w:sz="4" w:space="0" w:color="000000"/>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Pr>
                <w:rFonts w:ascii="Calibri" w:eastAsia="Times New Roman" w:hAnsi="Calibri" w:cs="Calibri"/>
                <w:color w:val="000000"/>
                <w:lang w:eastAsia="en-CA"/>
              </w:rPr>
              <w:t>% of</w:t>
            </w:r>
            <w:r w:rsidRPr="001059C0">
              <w:rPr>
                <w:rFonts w:ascii="Calibri" w:eastAsia="Times New Roman" w:hAnsi="Calibri" w:cs="Calibri"/>
                <w:color w:val="000000"/>
                <w:lang w:eastAsia="en-CA"/>
              </w:rPr>
              <w:t xml:space="preserve"> Taxes </w:t>
            </w:r>
          </w:p>
        </w:tc>
      </w:tr>
      <w:tr w:rsidR="00114145" w:rsidRPr="001059C0" w:rsidTr="003D0EE5">
        <w:trPr>
          <w:trHeight w:val="375"/>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lang w:eastAsia="en-CA"/>
              </w:rPr>
            </w:pPr>
            <w:r w:rsidRPr="001059C0">
              <w:rPr>
                <w:rFonts w:ascii="Calibri" w:eastAsia="Times New Roman" w:hAnsi="Calibri" w:cs="Calibri"/>
                <w:lang w:eastAsia="en-CA"/>
              </w:rPr>
              <w:t>Residential</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61,844,500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91.6%</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1.0</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3.1403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194,212.15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84.3%</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Utilities</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104,700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0.16%</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5.0</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15.7017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1,643.96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0.7%</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Supportive Housing</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1.0</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3.1403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Major Industry</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2.4</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7.5368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Light Industry</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2.3</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7.2228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lang w:eastAsia="en-CA"/>
              </w:rPr>
            </w:pPr>
            <w:r w:rsidRPr="001059C0">
              <w:rPr>
                <w:rFonts w:ascii="Calibri" w:eastAsia="Times New Roman" w:hAnsi="Calibri" w:cs="Calibri"/>
                <w:lang w:eastAsia="en-CA"/>
              </w:rPr>
              <w:t>Business/Other</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5,472,150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8.10%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2.0</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6.2807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34,368.72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14.9%</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Managed Forests</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0.8</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2.5123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Recreational</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121,000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0.18%</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0.1</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0.3140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38.00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300"/>
        </w:trPr>
        <w:tc>
          <w:tcPr>
            <w:tcW w:w="1985" w:type="dxa"/>
            <w:tcBorders>
              <w:top w:val="nil"/>
              <w:left w:val="single" w:sz="4" w:space="0" w:color="auto"/>
              <w:bottom w:val="nil"/>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Farm</w:t>
            </w:r>
          </w:p>
        </w:tc>
        <w:tc>
          <w:tcPr>
            <w:tcW w:w="1358" w:type="dxa"/>
            <w:tcBorders>
              <w:top w:val="nil"/>
              <w:left w:val="nil"/>
              <w:bottom w:val="nil"/>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   </w:t>
            </w:r>
          </w:p>
        </w:tc>
        <w:tc>
          <w:tcPr>
            <w:tcW w:w="1480" w:type="dxa"/>
            <w:tcBorders>
              <w:top w:val="nil"/>
              <w:left w:val="nil"/>
              <w:bottom w:val="nil"/>
              <w:right w:val="nil"/>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0.00%</w:t>
            </w:r>
          </w:p>
        </w:tc>
        <w:tc>
          <w:tcPr>
            <w:tcW w:w="1680" w:type="dxa"/>
            <w:tcBorders>
              <w:top w:val="nil"/>
              <w:left w:val="nil"/>
              <w:bottom w:val="nil"/>
              <w:right w:val="nil"/>
            </w:tcBorders>
            <w:shd w:val="clear" w:color="auto" w:fill="auto"/>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1.0</w:t>
            </w:r>
          </w:p>
        </w:tc>
        <w:tc>
          <w:tcPr>
            <w:tcW w:w="1460"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3.1403 </w:t>
            </w:r>
          </w:p>
        </w:tc>
        <w:tc>
          <w:tcPr>
            <w:tcW w:w="1252" w:type="dxa"/>
            <w:tcBorders>
              <w:top w:val="nil"/>
              <w:left w:val="nil"/>
              <w:bottom w:val="nil"/>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   </w:t>
            </w:r>
          </w:p>
        </w:tc>
        <w:tc>
          <w:tcPr>
            <w:tcW w:w="1275" w:type="dxa"/>
            <w:tcBorders>
              <w:top w:val="nil"/>
              <w:left w:val="nil"/>
              <w:bottom w:val="nil"/>
              <w:right w:val="single" w:sz="4" w:space="0" w:color="auto"/>
            </w:tcBorders>
            <w:shd w:val="clear" w:color="auto" w:fill="auto"/>
            <w:noWrap/>
            <w:vAlign w:val="bottom"/>
            <w:hideMark/>
          </w:tcPr>
          <w:p w:rsidR="00114145" w:rsidRPr="001059C0" w:rsidRDefault="00114145" w:rsidP="003D0EE5">
            <w:pPr>
              <w:jc w:val="center"/>
              <w:rPr>
                <w:rFonts w:ascii="Calibri" w:eastAsia="Times New Roman" w:hAnsi="Calibri" w:cs="Calibri"/>
                <w:color w:val="000000"/>
                <w:lang w:eastAsia="en-CA"/>
              </w:rPr>
            </w:pPr>
            <w:r w:rsidRPr="001059C0">
              <w:rPr>
                <w:rFonts w:ascii="Calibri" w:eastAsia="Times New Roman" w:hAnsi="Calibri" w:cs="Calibri"/>
                <w:color w:val="000000"/>
                <w:lang w:eastAsia="en-CA"/>
              </w:rPr>
              <w:t>0.0%</w:t>
            </w:r>
          </w:p>
        </w:tc>
      </w:tr>
      <w:tr w:rsidR="00114145" w:rsidRPr="001059C0" w:rsidTr="003D0EE5">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lang w:eastAsia="en-CA"/>
              </w:rPr>
            </w:pPr>
            <w:r w:rsidRPr="001059C0">
              <w:rPr>
                <w:rFonts w:ascii="Calibri" w:eastAsia="Times New Roman" w:hAnsi="Calibri" w:cs="Calibri"/>
                <w:lang w:eastAsia="en-CA"/>
              </w:rPr>
              <w:t> </w:t>
            </w:r>
          </w:p>
        </w:tc>
        <w:tc>
          <w:tcPr>
            <w:tcW w:w="1358" w:type="dxa"/>
            <w:tcBorders>
              <w:top w:val="single" w:sz="4" w:space="0" w:color="000000"/>
              <w:left w:val="nil"/>
              <w:bottom w:val="single" w:sz="4" w:space="0" w:color="auto"/>
              <w:right w:val="nil"/>
            </w:tcBorders>
            <w:shd w:val="clear" w:color="auto" w:fill="auto"/>
            <w:noWrap/>
            <w:vAlign w:val="bottom"/>
            <w:hideMark/>
          </w:tcPr>
          <w:p w:rsidR="00114145" w:rsidRPr="001059C0" w:rsidRDefault="00114145" w:rsidP="003D0EE5">
            <w:pPr>
              <w:ind w:firstLineChars="100" w:firstLine="240"/>
              <w:jc w:val="right"/>
              <w:rPr>
                <w:rFonts w:ascii="Calibri" w:eastAsia="Times New Roman" w:hAnsi="Calibri" w:cs="Calibri"/>
                <w:color w:val="000000"/>
                <w:lang w:eastAsia="en-CA"/>
              </w:rPr>
            </w:pPr>
            <w:r w:rsidRPr="001059C0">
              <w:rPr>
                <w:rFonts w:ascii="Calibri" w:eastAsia="Times New Roman" w:hAnsi="Calibri" w:cs="Calibri"/>
                <w:color w:val="000000"/>
                <w:lang w:eastAsia="en-CA"/>
              </w:rPr>
              <w:t xml:space="preserve">        67,542,350 </w:t>
            </w:r>
          </w:p>
        </w:tc>
        <w:tc>
          <w:tcPr>
            <w:tcW w:w="1480" w:type="dxa"/>
            <w:tcBorders>
              <w:top w:val="nil"/>
              <w:left w:val="nil"/>
              <w:bottom w:val="single" w:sz="4" w:space="0" w:color="auto"/>
              <w:right w:val="nil"/>
            </w:tcBorders>
            <w:shd w:val="clear" w:color="auto" w:fill="auto"/>
            <w:noWrap/>
            <w:vAlign w:val="bottom"/>
            <w:hideMark/>
          </w:tcPr>
          <w:p w:rsidR="00114145" w:rsidRPr="001059C0" w:rsidRDefault="00114145" w:rsidP="003D0EE5">
            <w:pPr>
              <w:ind w:firstLineChars="100" w:firstLine="240"/>
              <w:rPr>
                <w:rFonts w:ascii="Calibri" w:eastAsia="Times New Roman" w:hAnsi="Calibri" w:cs="Calibri"/>
                <w:color w:val="000000"/>
                <w:lang w:eastAsia="en-CA"/>
              </w:rPr>
            </w:pPr>
            <w:r w:rsidRPr="001059C0">
              <w:rPr>
                <w:rFonts w:ascii="Calibri" w:eastAsia="Times New Roman" w:hAnsi="Calibri" w:cs="Calibri"/>
                <w:color w:val="000000"/>
                <w:lang w:eastAsia="en-CA"/>
              </w:rPr>
              <w:t> </w:t>
            </w:r>
          </w:p>
        </w:tc>
        <w:tc>
          <w:tcPr>
            <w:tcW w:w="1680" w:type="dxa"/>
            <w:tcBorders>
              <w:top w:val="nil"/>
              <w:left w:val="nil"/>
              <w:bottom w:val="single" w:sz="4" w:space="0" w:color="auto"/>
              <w:right w:val="nil"/>
            </w:tcBorders>
            <w:shd w:val="clear" w:color="auto" w:fill="auto"/>
            <w:noWrap/>
            <w:vAlign w:val="bottom"/>
            <w:hideMark/>
          </w:tcPr>
          <w:p w:rsidR="00114145" w:rsidRPr="001059C0" w:rsidRDefault="00114145" w:rsidP="003D0EE5">
            <w:pPr>
              <w:rPr>
                <w:rFonts w:ascii="Calibri" w:eastAsia="Times New Roman" w:hAnsi="Calibri" w:cs="Calibri"/>
                <w:color w:val="000000"/>
                <w:lang w:eastAsia="en-CA"/>
              </w:rPr>
            </w:pPr>
            <w:r w:rsidRPr="001059C0">
              <w:rPr>
                <w:rFonts w:ascii="Calibri" w:eastAsia="Times New Roman" w:hAnsi="Calibri" w:cs="Calibri"/>
                <w:color w:val="000000"/>
                <w:lang w:eastAsia="en-CA"/>
              </w:rPr>
              <w:t> </w:t>
            </w:r>
          </w:p>
        </w:tc>
        <w:tc>
          <w:tcPr>
            <w:tcW w:w="1460" w:type="dxa"/>
            <w:tcBorders>
              <w:top w:val="nil"/>
              <w:left w:val="nil"/>
              <w:bottom w:val="single" w:sz="4" w:space="0" w:color="auto"/>
              <w:right w:val="nil"/>
            </w:tcBorders>
            <w:shd w:val="clear" w:color="auto" w:fill="auto"/>
            <w:noWrap/>
            <w:vAlign w:val="bottom"/>
            <w:hideMark/>
          </w:tcPr>
          <w:p w:rsidR="00114145" w:rsidRPr="001059C0" w:rsidRDefault="00114145" w:rsidP="003D0EE5">
            <w:pPr>
              <w:rPr>
                <w:rFonts w:ascii="Calibri" w:eastAsia="Times New Roman" w:hAnsi="Calibri" w:cs="Calibri"/>
                <w:lang w:eastAsia="en-CA"/>
              </w:rPr>
            </w:pPr>
            <w:r w:rsidRPr="001059C0">
              <w:rPr>
                <w:rFonts w:ascii="Calibri" w:eastAsia="Times New Roman" w:hAnsi="Calibri" w:cs="Calibri"/>
                <w:lang w:eastAsia="en-CA"/>
              </w:rPr>
              <w:t> </w:t>
            </w:r>
          </w:p>
        </w:tc>
        <w:tc>
          <w:tcPr>
            <w:tcW w:w="1252" w:type="dxa"/>
            <w:tcBorders>
              <w:top w:val="single" w:sz="4" w:space="0" w:color="000000"/>
              <w:left w:val="nil"/>
              <w:bottom w:val="single" w:sz="4" w:space="0" w:color="auto"/>
              <w:right w:val="nil"/>
            </w:tcBorders>
            <w:shd w:val="clear" w:color="auto" w:fill="auto"/>
            <w:noWrap/>
            <w:vAlign w:val="bottom"/>
            <w:hideMark/>
          </w:tcPr>
          <w:p w:rsidR="00114145" w:rsidRPr="001059C0" w:rsidRDefault="00114145" w:rsidP="003D0EE5">
            <w:pPr>
              <w:jc w:val="right"/>
              <w:rPr>
                <w:rFonts w:ascii="Calibri" w:eastAsia="Times New Roman" w:hAnsi="Calibri" w:cs="Calibri"/>
                <w:bCs/>
                <w:lang w:eastAsia="en-CA"/>
              </w:rPr>
            </w:pPr>
            <w:r w:rsidRPr="001059C0">
              <w:rPr>
                <w:rFonts w:ascii="Calibri" w:eastAsia="Times New Roman" w:hAnsi="Calibri" w:cs="Calibri"/>
                <w:bCs/>
                <w:lang w:eastAsia="en-CA"/>
              </w:rPr>
              <w:t xml:space="preserve">       230,262.82 </w:t>
            </w:r>
          </w:p>
        </w:tc>
        <w:tc>
          <w:tcPr>
            <w:tcW w:w="1275" w:type="dxa"/>
            <w:tcBorders>
              <w:top w:val="nil"/>
              <w:left w:val="nil"/>
              <w:bottom w:val="single" w:sz="4" w:space="0" w:color="auto"/>
              <w:right w:val="single" w:sz="4" w:space="0" w:color="auto"/>
            </w:tcBorders>
            <w:shd w:val="clear" w:color="auto" w:fill="auto"/>
            <w:noWrap/>
            <w:vAlign w:val="bottom"/>
            <w:hideMark/>
          </w:tcPr>
          <w:p w:rsidR="00114145" w:rsidRPr="001059C0" w:rsidRDefault="00114145" w:rsidP="003D0EE5">
            <w:pPr>
              <w:rPr>
                <w:rFonts w:ascii="Calibri" w:eastAsia="Times New Roman" w:hAnsi="Calibri" w:cs="Calibri"/>
                <w:b/>
                <w:bCs/>
                <w:lang w:eastAsia="en-CA"/>
              </w:rPr>
            </w:pPr>
            <w:r w:rsidRPr="001059C0">
              <w:rPr>
                <w:rFonts w:ascii="Calibri" w:eastAsia="Times New Roman" w:hAnsi="Calibri" w:cs="Calibri"/>
                <w:b/>
                <w:bCs/>
                <w:lang w:eastAsia="en-CA"/>
              </w:rPr>
              <w:t> </w:t>
            </w:r>
          </w:p>
        </w:tc>
      </w:tr>
    </w:tbl>
    <w:p w:rsidR="000B7169" w:rsidRPr="00E3370F" w:rsidRDefault="000B7169" w:rsidP="000B7169">
      <w:pPr>
        <w:rPr>
          <w:rFonts w:ascii="Times New Roman" w:hAnsi="Times New Roman" w:cs="Times New Roman"/>
        </w:rPr>
      </w:pPr>
    </w:p>
    <w:p w:rsidR="000B7169" w:rsidRPr="00E3370F" w:rsidRDefault="000B7169" w:rsidP="000B7169">
      <w:pPr>
        <w:rPr>
          <w:rFonts w:ascii="Times New Roman" w:hAnsi="Times New Roman" w:cs="Times New Roman"/>
        </w:rPr>
      </w:pPr>
    </w:p>
    <w:p w:rsidR="004D0D11" w:rsidRPr="00442AA5" w:rsidRDefault="004D0D11" w:rsidP="00442AA5">
      <w:pPr>
        <w:rPr>
          <w:rFonts w:ascii="Times New Roman" w:hAnsi="Times New Roman" w:cs="Times New Roman"/>
        </w:rPr>
      </w:pPr>
    </w:p>
    <w:p w:rsidR="00F46F1D" w:rsidRPr="00442AA5" w:rsidRDefault="00F46F1D">
      <w:pPr>
        <w:rPr>
          <w:rFonts w:ascii="Times New Roman" w:hAnsi="Times New Roman" w:cs="Times New Roman"/>
        </w:rPr>
      </w:pPr>
    </w:p>
    <w:sectPr w:rsidR="00F46F1D" w:rsidRPr="00442AA5" w:rsidSect="008E0F49">
      <w:headerReference w:type="first" r:id="rId17"/>
      <w:pgSz w:w="12240" w:h="20160" w:code="5"/>
      <w:pgMar w:top="284" w:right="1440" w:bottom="426" w:left="1440"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BA" w:rsidRDefault="003E65BA" w:rsidP="00447A8B">
      <w:r>
        <w:separator/>
      </w:r>
    </w:p>
  </w:endnote>
  <w:endnote w:type="continuationSeparator" w:id="0">
    <w:p w:rsidR="003E65BA" w:rsidRDefault="003E65BA" w:rsidP="00447A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Default="00AD1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Default="00AD18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Default="00AD1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BA" w:rsidRDefault="003E65BA" w:rsidP="00447A8B">
      <w:r>
        <w:separator/>
      </w:r>
    </w:p>
  </w:footnote>
  <w:footnote w:type="continuationSeparator" w:id="0">
    <w:p w:rsidR="003E65BA" w:rsidRDefault="003E65BA" w:rsidP="0044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Default="00AD18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Pr="00030263" w:rsidRDefault="00AD18D5" w:rsidP="00AD18D5">
    <w:pPr>
      <w:pStyle w:val="Header"/>
      <w:tabs>
        <w:tab w:val="clear" w:pos="4680"/>
        <w:tab w:val="left" w:pos="4049"/>
      </w:tabs>
      <w:rPr>
        <w:rFonts w:asciiTheme="minorHAnsi" w:hAnsiTheme="minorHAnsi"/>
        <w:sz w:val="22"/>
        <w:szCs w:val="22"/>
      </w:rPr>
    </w:pPr>
    <w:r w:rsidRPr="00030263">
      <w:rPr>
        <w:rFonts w:asciiTheme="minorHAnsi" w:hAnsiTheme="minorHAnsi"/>
        <w:sz w:val="22"/>
        <w:szCs w:val="22"/>
      </w:rPr>
      <w:t>Village of New Denver</w:t>
    </w:r>
    <w:r w:rsidRPr="00030263">
      <w:rPr>
        <w:rFonts w:asciiTheme="minorHAnsi" w:hAnsiTheme="minorHAnsi"/>
        <w:sz w:val="22"/>
        <w:szCs w:val="22"/>
      </w:rPr>
      <w:tab/>
      <w:t>APPENDIX A</w:t>
    </w:r>
    <w:r w:rsidRPr="00030263">
      <w:rPr>
        <w:rFonts w:asciiTheme="minorHAnsi" w:hAnsiTheme="minorHAnsi"/>
        <w:sz w:val="22"/>
        <w:szCs w:val="22"/>
      </w:rPr>
      <w:tab/>
      <w:t>Bylaw No. 6</w:t>
    </w:r>
    <w:r>
      <w:rPr>
        <w:rFonts w:asciiTheme="minorHAnsi" w:hAnsiTheme="minorHAnsi"/>
        <w:sz w:val="22"/>
        <w:szCs w:val="22"/>
      </w:rPr>
      <w:t>94/15</w:t>
    </w:r>
  </w:p>
  <w:p w:rsidR="00124BD5" w:rsidRPr="00447A8B" w:rsidRDefault="00124BD5">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D5" w:rsidRDefault="00AD18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D5" w:rsidRPr="00030263" w:rsidRDefault="00124BD5" w:rsidP="00030263">
    <w:pPr>
      <w:pStyle w:val="Header"/>
      <w:tabs>
        <w:tab w:val="clear" w:pos="4680"/>
        <w:tab w:val="left" w:pos="4049"/>
      </w:tabs>
      <w:rPr>
        <w:rFonts w:asciiTheme="minorHAnsi" w:hAnsiTheme="minorHAnsi"/>
        <w:sz w:val="22"/>
        <w:szCs w:val="22"/>
      </w:rPr>
    </w:pPr>
    <w:r w:rsidRPr="00030263">
      <w:rPr>
        <w:rFonts w:asciiTheme="minorHAnsi" w:hAnsiTheme="minorHAnsi"/>
        <w:sz w:val="22"/>
        <w:szCs w:val="22"/>
      </w:rPr>
      <w:t>Village of New Denver</w:t>
    </w:r>
    <w:r w:rsidRPr="00030263">
      <w:rPr>
        <w:rFonts w:asciiTheme="minorHAnsi" w:hAnsiTheme="minorHAnsi"/>
        <w:sz w:val="22"/>
        <w:szCs w:val="22"/>
      </w:rPr>
      <w:tab/>
      <w:t>APPENDIX A</w:t>
    </w:r>
    <w:r w:rsidRPr="00030263">
      <w:rPr>
        <w:rFonts w:asciiTheme="minorHAnsi" w:hAnsiTheme="minorHAnsi"/>
        <w:sz w:val="22"/>
        <w:szCs w:val="22"/>
      </w:rPr>
      <w:tab/>
      <w:t>Bylaw No. 6</w:t>
    </w:r>
    <w:r w:rsidR="00976E94">
      <w:rPr>
        <w:rFonts w:asciiTheme="minorHAnsi" w:hAnsiTheme="minorHAnsi"/>
        <w:sz w:val="22"/>
        <w:szCs w:val="22"/>
      </w:rPr>
      <w:t>94/15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D5" w:rsidRPr="005675F6" w:rsidRDefault="00124BD5" w:rsidP="002E040A">
    <w:pPr>
      <w:pStyle w:val="Header"/>
      <w:rPr>
        <w:rFonts w:asciiTheme="minorHAnsi" w:hAnsiTheme="minorHAnsi"/>
      </w:rPr>
    </w:pPr>
    <w:r w:rsidRPr="005675F6">
      <w:rPr>
        <w:rFonts w:asciiTheme="minorHAnsi" w:hAnsiTheme="minorHAnsi"/>
        <w:sz w:val="22"/>
        <w:szCs w:val="22"/>
      </w:rPr>
      <w:t>Village of New Denver</w:t>
    </w:r>
    <w:r w:rsidRPr="005675F6">
      <w:rPr>
        <w:rFonts w:asciiTheme="minorHAnsi" w:hAnsiTheme="minorHAnsi"/>
        <w:sz w:val="22"/>
        <w:szCs w:val="22"/>
      </w:rPr>
      <w:tab/>
      <w:t xml:space="preserve">APPENDIX </w:t>
    </w:r>
    <w:r>
      <w:rPr>
        <w:rFonts w:asciiTheme="minorHAnsi" w:hAnsiTheme="minorHAnsi"/>
        <w:sz w:val="22"/>
        <w:szCs w:val="22"/>
      </w:rPr>
      <w:t>B</w:t>
    </w:r>
    <w:r w:rsidRPr="005675F6">
      <w:rPr>
        <w:rFonts w:asciiTheme="minorHAnsi" w:hAnsiTheme="minorHAnsi"/>
        <w:sz w:val="22"/>
        <w:szCs w:val="22"/>
      </w:rPr>
      <w:tab/>
      <w:t>Bylaw No.</w:t>
    </w:r>
    <w:r>
      <w:rPr>
        <w:rFonts w:asciiTheme="minorHAnsi" w:hAnsiTheme="minorHAnsi"/>
        <w:sz w:val="22"/>
        <w:szCs w:val="22"/>
      </w:rPr>
      <w:t xml:space="preserve"> </w:t>
    </w:r>
    <w:r w:rsidR="00976E94">
      <w:rPr>
        <w:rFonts w:asciiTheme="minorHAnsi" w:hAnsiTheme="minorHAnsi"/>
        <w:sz w:val="22"/>
        <w:szCs w:val="22"/>
      </w:rPr>
      <w:t>694, 2015</w:t>
    </w:r>
    <w:r w:rsidRPr="005675F6">
      <w:rPr>
        <w:rFonts w:asciiTheme="minorHAnsi" w:hAnsiTheme="minorHAnsi"/>
        <w:sz w:val="22"/>
      </w:rPr>
      <w:t xml:space="preserve"> </w:t>
    </w:r>
  </w:p>
  <w:p w:rsidR="00124BD5" w:rsidRPr="00447A8B" w:rsidRDefault="00124BD5">
    <w:pPr>
      <w:pStyle w:val="Header"/>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D5" w:rsidRPr="005675F6" w:rsidRDefault="00124BD5">
    <w:pPr>
      <w:pStyle w:val="Header"/>
      <w:rPr>
        <w:rFonts w:asciiTheme="minorHAnsi" w:hAnsiTheme="minorHAnsi"/>
      </w:rPr>
    </w:pPr>
    <w:r w:rsidRPr="005675F6">
      <w:rPr>
        <w:rFonts w:asciiTheme="minorHAnsi" w:hAnsiTheme="minorHAnsi"/>
        <w:sz w:val="22"/>
        <w:szCs w:val="22"/>
      </w:rPr>
      <w:t>Village of New Denver</w:t>
    </w:r>
    <w:r w:rsidRPr="005675F6">
      <w:rPr>
        <w:rFonts w:asciiTheme="minorHAnsi" w:hAnsiTheme="minorHAnsi"/>
        <w:sz w:val="22"/>
        <w:szCs w:val="22"/>
      </w:rPr>
      <w:tab/>
      <w:t xml:space="preserve">APPENDIX </w:t>
    </w:r>
    <w:r>
      <w:rPr>
        <w:rFonts w:asciiTheme="minorHAnsi" w:hAnsiTheme="minorHAnsi"/>
        <w:sz w:val="22"/>
        <w:szCs w:val="22"/>
      </w:rPr>
      <w:t>B</w:t>
    </w:r>
    <w:r w:rsidRPr="005675F6">
      <w:rPr>
        <w:rFonts w:asciiTheme="minorHAnsi" w:hAnsiTheme="minorHAnsi"/>
        <w:sz w:val="22"/>
        <w:szCs w:val="22"/>
      </w:rPr>
      <w:tab/>
      <w:t xml:space="preserve">Bylaw No. </w:t>
    </w:r>
    <w:r w:rsidR="00976E94">
      <w:rPr>
        <w:rFonts w:asciiTheme="minorHAnsi" w:hAnsiTheme="minorHAnsi"/>
        <w:sz w:val="22"/>
        <w:szCs w:val="22"/>
      </w:rPr>
      <w:t>694</w:t>
    </w:r>
    <w:r w:rsidRPr="005675F6">
      <w:rPr>
        <w:rFonts w:asciiTheme="minorHAnsi" w:hAnsiTheme="minorHAnsi"/>
        <w:sz w:val="22"/>
        <w:szCs w:val="22"/>
      </w:rPr>
      <w:t>, 201</w:t>
    </w:r>
    <w:r w:rsidR="00976E94">
      <w:rPr>
        <w:rFonts w:asciiTheme="minorHAnsi" w:hAnsiTheme="minorHAnsi"/>
        <w:sz w:val="22"/>
        <w:szCs w:val="22"/>
      </w:rPr>
      <w:t>5</w:t>
    </w:r>
    <w:r w:rsidRPr="005675F6">
      <w:rPr>
        <w:rFonts w:asciiTheme="minorHAnsi" w:hAnsiTheme="minorHAnsi"/>
        <w:sz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D5" w:rsidRPr="005675F6" w:rsidRDefault="00124BD5">
    <w:pPr>
      <w:pStyle w:val="Header"/>
      <w:rPr>
        <w:rFonts w:asciiTheme="minorHAnsi" w:hAnsiTheme="minorHAnsi"/>
      </w:rPr>
    </w:pPr>
    <w:r>
      <w:rPr>
        <w:rFonts w:asciiTheme="minorHAnsi" w:hAnsiTheme="minorHAnsi"/>
        <w:sz w:val="22"/>
        <w:szCs w:val="22"/>
      </w:rPr>
      <w:t>Village of New Denver</w:t>
    </w:r>
    <w:r>
      <w:rPr>
        <w:rFonts w:asciiTheme="minorHAnsi" w:hAnsiTheme="minorHAnsi"/>
        <w:sz w:val="22"/>
        <w:szCs w:val="22"/>
      </w:rPr>
      <w:tab/>
      <w:t>APPENDIX C</w:t>
    </w:r>
    <w:r w:rsidRPr="005675F6">
      <w:rPr>
        <w:rFonts w:asciiTheme="minorHAnsi" w:hAnsiTheme="minorHAnsi"/>
        <w:sz w:val="22"/>
        <w:szCs w:val="22"/>
      </w:rPr>
      <w:tab/>
      <w:t xml:space="preserve">Bylaw No. </w:t>
    </w:r>
    <w:r w:rsidR="00976E94">
      <w:rPr>
        <w:rFonts w:asciiTheme="minorHAnsi" w:hAnsiTheme="minorHAnsi"/>
        <w:sz w:val="22"/>
        <w:szCs w:val="22"/>
      </w:rPr>
      <w:t>694, 2015</w:t>
    </w:r>
    <w:r w:rsidRPr="005675F6">
      <w:rPr>
        <w:rFonts w:asciiTheme="minorHAnsi" w:hAnsiTheme="minorHAns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5618"/>
    <w:multiLevelType w:val="hybridMultilevel"/>
    <w:tmpl w:val="3C2A7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045A60"/>
    <w:rsid w:val="00004B0C"/>
    <w:rsid w:val="00010B00"/>
    <w:rsid w:val="000151F5"/>
    <w:rsid w:val="00017C13"/>
    <w:rsid w:val="00030263"/>
    <w:rsid w:val="0003437B"/>
    <w:rsid w:val="00034C79"/>
    <w:rsid w:val="00045A60"/>
    <w:rsid w:val="00050891"/>
    <w:rsid w:val="000558FC"/>
    <w:rsid w:val="000665BC"/>
    <w:rsid w:val="00073B51"/>
    <w:rsid w:val="00075828"/>
    <w:rsid w:val="00090BA7"/>
    <w:rsid w:val="000A1ECF"/>
    <w:rsid w:val="000A3536"/>
    <w:rsid w:val="000A3846"/>
    <w:rsid w:val="000B0480"/>
    <w:rsid w:val="000B3352"/>
    <w:rsid w:val="000B7169"/>
    <w:rsid w:val="000C3526"/>
    <w:rsid w:val="000D2B7F"/>
    <w:rsid w:val="000E0686"/>
    <w:rsid w:val="000E11A6"/>
    <w:rsid w:val="001043E9"/>
    <w:rsid w:val="001101D1"/>
    <w:rsid w:val="001123C1"/>
    <w:rsid w:val="00113222"/>
    <w:rsid w:val="00114145"/>
    <w:rsid w:val="00116BC0"/>
    <w:rsid w:val="00124BD5"/>
    <w:rsid w:val="00126399"/>
    <w:rsid w:val="00127D8D"/>
    <w:rsid w:val="00132F72"/>
    <w:rsid w:val="0014247F"/>
    <w:rsid w:val="001439D1"/>
    <w:rsid w:val="00143CA6"/>
    <w:rsid w:val="00145715"/>
    <w:rsid w:val="00147FDF"/>
    <w:rsid w:val="00150082"/>
    <w:rsid w:val="00154584"/>
    <w:rsid w:val="001725D8"/>
    <w:rsid w:val="00190143"/>
    <w:rsid w:val="001A4648"/>
    <w:rsid w:val="001A5310"/>
    <w:rsid w:val="001C7872"/>
    <w:rsid w:val="001D2C78"/>
    <w:rsid w:val="001E017A"/>
    <w:rsid w:val="001E2699"/>
    <w:rsid w:val="001E275B"/>
    <w:rsid w:val="001E577B"/>
    <w:rsid w:val="002041F3"/>
    <w:rsid w:val="00226167"/>
    <w:rsid w:val="00233E7C"/>
    <w:rsid w:val="00243419"/>
    <w:rsid w:val="00246647"/>
    <w:rsid w:val="00251B1A"/>
    <w:rsid w:val="00257279"/>
    <w:rsid w:val="00257BD0"/>
    <w:rsid w:val="00265F39"/>
    <w:rsid w:val="0027577D"/>
    <w:rsid w:val="002814B5"/>
    <w:rsid w:val="0029089C"/>
    <w:rsid w:val="0029280C"/>
    <w:rsid w:val="002945E1"/>
    <w:rsid w:val="002A3D08"/>
    <w:rsid w:val="002B1775"/>
    <w:rsid w:val="002B5EA1"/>
    <w:rsid w:val="002B7083"/>
    <w:rsid w:val="002C02D4"/>
    <w:rsid w:val="002C7403"/>
    <w:rsid w:val="002D55B0"/>
    <w:rsid w:val="002D60C4"/>
    <w:rsid w:val="002E040A"/>
    <w:rsid w:val="002E6D4E"/>
    <w:rsid w:val="002F70BA"/>
    <w:rsid w:val="00315928"/>
    <w:rsid w:val="00350CD6"/>
    <w:rsid w:val="00353409"/>
    <w:rsid w:val="00353FAD"/>
    <w:rsid w:val="00357639"/>
    <w:rsid w:val="003604C7"/>
    <w:rsid w:val="00361CE0"/>
    <w:rsid w:val="00363104"/>
    <w:rsid w:val="003839CE"/>
    <w:rsid w:val="00384F30"/>
    <w:rsid w:val="0039160A"/>
    <w:rsid w:val="003B2F46"/>
    <w:rsid w:val="003B3CA1"/>
    <w:rsid w:val="003C0450"/>
    <w:rsid w:val="003D1EF5"/>
    <w:rsid w:val="003D415F"/>
    <w:rsid w:val="003E65BA"/>
    <w:rsid w:val="003F4504"/>
    <w:rsid w:val="0041073D"/>
    <w:rsid w:val="00415F27"/>
    <w:rsid w:val="004240D5"/>
    <w:rsid w:val="0043444D"/>
    <w:rsid w:val="00434C2B"/>
    <w:rsid w:val="00437E05"/>
    <w:rsid w:val="00442AA5"/>
    <w:rsid w:val="00447A8B"/>
    <w:rsid w:val="004578E4"/>
    <w:rsid w:val="0046115A"/>
    <w:rsid w:val="00464344"/>
    <w:rsid w:val="0046728D"/>
    <w:rsid w:val="004736E6"/>
    <w:rsid w:val="00482288"/>
    <w:rsid w:val="00483AB5"/>
    <w:rsid w:val="00484881"/>
    <w:rsid w:val="00496EDC"/>
    <w:rsid w:val="004A08DA"/>
    <w:rsid w:val="004B3CEB"/>
    <w:rsid w:val="004C0AF2"/>
    <w:rsid w:val="004C25BF"/>
    <w:rsid w:val="004C769E"/>
    <w:rsid w:val="004D0D11"/>
    <w:rsid w:val="004D4D35"/>
    <w:rsid w:val="004E725A"/>
    <w:rsid w:val="004F0FBD"/>
    <w:rsid w:val="005065B3"/>
    <w:rsid w:val="00544F2D"/>
    <w:rsid w:val="005470AA"/>
    <w:rsid w:val="005550AA"/>
    <w:rsid w:val="005675F6"/>
    <w:rsid w:val="00570780"/>
    <w:rsid w:val="00585296"/>
    <w:rsid w:val="005976E2"/>
    <w:rsid w:val="005A4140"/>
    <w:rsid w:val="005A52C3"/>
    <w:rsid w:val="005D6D82"/>
    <w:rsid w:val="005F2322"/>
    <w:rsid w:val="00600F89"/>
    <w:rsid w:val="006044FB"/>
    <w:rsid w:val="006053BC"/>
    <w:rsid w:val="00610FE0"/>
    <w:rsid w:val="00612CD3"/>
    <w:rsid w:val="00613C77"/>
    <w:rsid w:val="00620410"/>
    <w:rsid w:val="00635792"/>
    <w:rsid w:val="00643274"/>
    <w:rsid w:val="006444D4"/>
    <w:rsid w:val="00654B98"/>
    <w:rsid w:val="006733D6"/>
    <w:rsid w:val="00680275"/>
    <w:rsid w:val="006817AA"/>
    <w:rsid w:val="0068185B"/>
    <w:rsid w:val="0068289A"/>
    <w:rsid w:val="00685A06"/>
    <w:rsid w:val="00693312"/>
    <w:rsid w:val="00696624"/>
    <w:rsid w:val="00697F33"/>
    <w:rsid w:val="006A29C8"/>
    <w:rsid w:val="006B498C"/>
    <w:rsid w:val="006C652C"/>
    <w:rsid w:val="006C68E2"/>
    <w:rsid w:val="006D0429"/>
    <w:rsid w:val="006D4130"/>
    <w:rsid w:val="006D67EB"/>
    <w:rsid w:val="006E2397"/>
    <w:rsid w:val="006E74E6"/>
    <w:rsid w:val="006F1A54"/>
    <w:rsid w:val="00700470"/>
    <w:rsid w:val="007041D0"/>
    <w:rsid w:val="00730555"/>
    <w:rsid w:val="007479AF"/>
    <w:rsid w:val="00750DCB"/>
    <w:rsid w:val="00755EFB"/>
    <w:rsid w:val="007602C5"/>
    <w:rsid w:val="0077094A"/>
    <w:rsid w:val="00774E22"/>
    <w:rsid w:val="00775C77"/>
    <w:rsid w:val="00783576"/>
    <w:rsid w:val="00791DAB"/>
    <w:rsid w:val="007A4D93"/>
    <w:rsid w:val="007B646B"/>
    <w:rsid w:val="007C6F7D"/>
    <w:rsid w:val="007D25A0"/>
    <w:rsid w:val="007D271C"/>
    <w:rsid w:val="007D7633"/>
    <w:rsid w:val="007F30E9"/>
    <w:rsid w:val="007F3DF3"/>
    <w:rsid w:val="007F7762"/>
    <w:rsid w:val="0080028B"/>
    <w:rsid w:val="00801729"/>
    <w:rsid w:val="00810771"/>
    <w:rsid w:val="00813523"/>
    <w:rsid w:val="008147BE"/>
    <w:rsid w:val="008166E8"/>
    <w:rsid w:val="00817A81"/>
    <w:rsid w:val="00843563"/>
    <w:rsid w:val="00854494"/>
    <w:rsid w:val="00861D2A"/>
    <w:rsid w:val="00862039"/>
    <w:rsid w:val="0086567B"/>
    <w:rsid w:val="00865E09"/>
    <w:rsid w:val="0086662D"/>
    <w:rsid w:val="008755EC"/>
    <w:rsid w:val="00883FE3"/>
    <w:rsid w:val="00893D0F"/>
    <w:rsid w:val="00897D43"/>
    <w:rsid w:val="008C2A76"/>
    <w:rsid w:val="008D36AE"/>
    <w:rsid w:val="008E0DA4"/>
    <w:rsid w:val="008E0F49"/>
    <w:rsid w:val="008E1087"/>
    <w:rsid w:val="008F2A85"/>
    <w:rsid w:val="00901273"/>
    <w:rsid w:val="00915BB5"/>
    <w:rsid w:val="00920730"/>
    <w:rsid w:val="00923471"/>
    <w:rsid w:val="00936953"/>
    <w:rsid w:val="009419DD"/>
    <w:rsid w:val="0094483E"/>
    <w:rsid w:val="009470AD"/>
    <w:rsid w:val="00971C9F"/>
    <w:rsid w:val="00976E94"/>
    <w:rsid w:val="00982B57"/>
    <w:rsid w:val="009951F5"/>
    <w:rsid w:val="0099634E"/>
    <w:rsid w:val="009966BD"/>
    <w:rsid w:val="009A31FD"/>
    <w:rsid w:val="009B0E1F"/>
    <w:rsid w:val="009B189C"/>
    <w:rsid w:val="009B1D46"/>
    <w:rsid w:val="009B731C"/>
    <w:rsid w:val="009C1EFA"/>
    <w:rsid w:val="009C6315"/>
    <w:rsid w:val="009E4698"/>
    <w:rsid w:val="009F5C41"/>
    <w:rsid w:val="00A141D1"/>
    <w:rsid w:val="00A31D1A"/>
    <w:rsid w:val="00A37BF0"/>
    <w:rsid w:val="00A4689B"/>
    <w:rsid w:val="00A546E6"/>
    <w:rsid w:val="00A64B60"/>
    <w:rsid w:val="00A67428"/>
    <w:rsid w:val="00A827B5"/>
    <w:rsid w:val="00A87684"/>
    <w:rsid w:val="00A95FDB"/>
    <w:rsid w:val="00AB2524"/>
    <w:rsid w:val="00AB657E"/>
    <w:rsid w:val="00AC51A0"/>
    <w:rsid w:val="00AD18D5"/>
    <w:rsid w:val="00AE7068"/>
    <w:rsid w:val="00AF57F2"/>
    <w:rsid w:val="00B07D7C"/>
    <w:rsid w:val="00B1301C"/>
    <w:rsid w:val="00B20192"/>
    <w:rsid w:val="00B221B1"/>
    <w:rsid w:val="00B24798"/>
    <w:rsid w:val="00B25210"/>
    <w:rsid w:val="00B27EA1"/>
    <w:rsid w:val="00B31ADC"/>
    <w:rsid w:val="00B365C1"/>
    <w:rsid w:val="00B54CF6"/>
    <w:rsid w:val="00B566A0"/>
    <w:rsid w:val="00B64D98"/>
    <w:rsid w:val="00B71CB2"/>
    <w:rsid w:val="00B76685"/>
    <w:rsid w:val="00B76B04"/>
    <w:rsid w:val="00B84356"/>
    <w:rsid w:val="00B94DB7"/>
    <w:rsid w:val="00BB0F0D"/>
    <w:rsid w:val="00BB1E8F"/>
    <w:rsid w:val="00BB3C34"/>
    <w:rsid w:val="00BB65DF"/>
    <w:rsid w:val="00BC4F15"/>
    <w:rsid w:val="00BD03B7"/>
    <w:rsid w:val="00BD2176"/>
    <w:rsid w:val="00BE38DE"/>
    <w:rsid w:val="00BF41C4"/>
    <w:rsid w:val="00C0113B"/>
    <w:rsid w:val="00C05FFB"/>
    <w:rsid w:val="00C158D5"/>
    <w:rsid w:val="00C26119"/>
    <w:rsid w:val="00C76EC4"/>
    <w:rsid w:val="00C814FE"/>
    <w:rsid w:val="00C84C3F"/>
    <w:rsid w:val="00C93E6C"/>
    <w:rsid w:val="00C96C9A"/>
    <w:rsid w:val="00CB1CEF"/>
    <w:rsid w:val="00CB58FA"/>
    <w:rsid w:val="00CC7417"/>
    <w:rsid w:val="00CE5006"/>
    <w:rsid w:val="00CF1276"/>
    <w:rsid w:val="00CF1ED1"/>
    <w:rsid w:val="00CF288C"/>
    <w:rsid w:val="00D06F4F"/>
    <w:rsid w:val="00D263F0"/>
    <w:rsid w:val="00D52A2C"/>
    <w:rsid w:val="00D6415A"/>
    <w:rsid w:val="00D71712"/>
    <w:rsid w:val="00D775EC"/>
    <w:rsid w:val="00D813CB"/>
    <w:rsid w:val="00DC7833"/>
    <w:rsid w:val="00DD034A"/>
    <w:rsid w:val="00DD7290"/>
    <w:rsid w:val="00DE4F0C"/>
    <w:rsid w:val="00DF063C"/>
    <w:rsid w:val="00E01C8F"/>
    <w:rsid w:val="00E04968"/>
    <w:rsid w:val="00E353BB"/>
    <w:rsid w:val="00E40AA1"/>
    <w:rsid w:val="00E427CB"/>
    <w:rsid w:val="00E44851"/>
    <w:rsid w:val="00E53BDC"/>
    <w:rsid w:val="00E61D61"/>
    <w:rsid w:val="00E76AED"/>
    <w:rsid w:val="00EB1452"/>
    <w:rsid w:val="00EB45B0"/>
    <w:rsid w:val="00ED3107"/>
    <w:rsid w:val="00EE43A4"/>
    <w:rsid w:val="00F05192"/>
    <w:rsid w:val="00F06C74"/>
    <w:rsid w:val="00F1128D"/>
    <w:rsid w:val="00F225E9"/>
    <w:rsid w:val="00F32B30"/>
    <w:rsid w:val="00F42C40"/>
    <w:rsid w:val="00F46F1D"/>
    <w:rsid w:val="00F55868"/>
    <w:rsid w:val="00F65372"/>
    <w:rsid w:val="00F90BDD"/>
    <w:rsid w:val="00F911DE"/>
    <w:rsid w:val="00F96CFC"/>
    <w:rsid w:val="00FA14A6"/>
    <w:rsid w:val="00FA41E7"/>
    <w:rsid w:val="00FA5264"/>
    <w:rsid w:val="00FA6857"/>
    <w:rsid w:val="00FB69D1"/>
    <w:rsid w:val="00FD0A2C"/>
    <w:rsid w:val="00FD5709"/>
    <w:rsid w:val="00FE5EF1"/>
    <w:rsid w:val="00FE6AA9"/>
    <w:rsid w:val="00FE6BD0"/>
    <w:rsid w:val="00FF68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F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7A8B"/>
    <w:pPr>
      <w:tabs>
        <w:tab w:val="center" w:pos="4680"/>
        <w:tab w:val="right" w:pos="9360"/>
      </w:tabs>
    </w:pPr>
  </w:style>
  <w:style w:type="character" w:customStyle="1" w:styleId="HeaderChar">
    <w:name w:val="Header Char"/>
    <w:basedOn w:val="DefaultParagraphFont"/>
    <w:link w:val="Header"/>
    <w:uiPriority w:val="99"/>
    <w:rsid w:val="00447A8B"/>
  </w:style>
  <w:style w:type="paragraph" w:styleId="Footer">
    <w:name w:val="footer"/>
    <w:basedOn w:val="Normal"/>
    <w:link w:val="FooterChar"/>
    <w:uiPriority w:val="99"/>
    <w:semiHidden/>
    <w:unhideWhenUsed/>
    <w:rsid w:val="00447A8B"/>
    <w:pPr>
      <w:tabs>
        <w:tab w:val="center" w:pos="4680"/>
        <w:tab w:val="right" w:pos="9360"/>
      </w:tabs>
    </w:pPr>
  </w:style>
  <w:style w:type="character" w:customStyle="1" w:styleId="FooterChar">
    <w:name w:val="Footer Char"/>
    <w:basedOn w:val="DefaultParagraphFont"/>
    <w:link w:val="Footer"/>
    <w:uiPriority w:val="99"/>
    <w:semiHidden/>
    <w:rsid w:val="00447A8B"/>
  </w:style>
  <w:style w:type="paragraph" w:styleId="BalloonText">
    <w:name w:val="Balloon Text"/>
    <w:basedOn w:val="Normal"/>
    <w:link w:val="BalloonTextChar"/>
    <w:uiPriority w:val="99"/>
    <w:semiHidden/>
    <w:unhideWhenUsed/>
    <w:rsid w:val="00447A8B"/>
    <w:rPr>
      <w:rFonts w:ascii="Tahoma" w:hAnsi="Tahoma" w:cs="Tahoma"/>
      <w:sz w:val="16"/>
      <w:szCs w:val="16"/>
    </w:rPr>
  </w:style>
  <w:style w:type="character" w:customStyle="1" w:styleId="BalloonTextChar">
    <w:name w:val="Balloon Text Char"/>
    <w:basedOn w:val="DefaultParagraphFont"/>
    <w:link w:val="BalloonText"/>
    <w:uiPriority w:val="99"/>
    <w:semiHidden/>
    <w:rsid w:val="00447A8B"/>
    <w:rPr>
      <w:rFonts w:ascii="Tahoma" w:hAnsi="Tahoma" w:cs="Tahoma"/>
      <w:sz w:val="16"/>
      <w:szCs w:val="16"/>
    </w:rPr>
  </w:style>
  <w:style w:type="paragraph" w:styleId="ListParagraph">
    <w:name w:val="List Paragraph"/>
    <w:basedOn w:val="Normal"/>
    <w:uiPriority w:val="34"/>
    <w:qFormat/>
    <w:rsid w:val="00982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2409">
      <w:bodyDiv w:val="1"/>
      <w:marLeft w:val="0"/>
      <w:marRight w:val="0"/>
      <w:marTop w:val="0"/>
      <w:marBottom w:val="0"/>
      <w:divBdr>
        <w:top w:val="none" w:sz="0" w:space="0" w:color="auto"/>
        <w:left w:val="none" w:sz="0" w:space="0" w:color="auto"/>
        <w:bottom w:val="none" w:sz="0" w:space="0" w:color="auto"/>
        <w:right w:val="none" w:sz="0" w:space="0" w:color="auto"/>
      </w:divBdr>
    </w:div>
    <w:div w:id="81612436">
      <w:bodyDiv w:val="1"/>
      <w:marLeft w:val="0"/>
      <w:marRight w:val="0"/>
      <w:marTop w:val="0"/>
      <w:marBottom w:val="0"/>
      <w:divBdr>
        <w:top w:val="none" w:sz="0" w:space="0" w:color="auto"/>
        <w:left w:val="none" w:sz="0" w:space="0" w:color="auto"/>
        <w:bottom w:val="none" w:sz="0" w:space="0" w:color="auto"/>
        <w:right w:val="none" w:sz="0" w:space="0" w:color="auto"/>
      </w:divBdr>
    </w:div>
    <w:div w:id="268241097">
      <w:bodyDiv w:val="1"/>
      <w:marLeft w:val="0"/>
      <w:marRight w:val="0"/>
      <w:marTop w:val="0"/>
      <w:marBottom w:val="0"/>
      <w:divBdr>
        <w:top w:val="none" w:sz="0" w:space="0" w:color="auto"/>
        <w:left w:val="none" w:sz="0" w:space="0" w:color="auto"/>
        <w:bottom w:val="none" w:sz="0" w:space="0" w:color="auto"/>
        <w:right w:val="none" w:sz="0" w:space="0" w:color="auto"/>
      </w:divBdr>
    </w:div>
    <w:div w:id="425612635">
      <w:bodyDiv w:val="1"/>
      <w:marLeft w:val="0"/>
      <w:marRight w:val="0"/>
      <w:marTop w:val="0"/>
      <w:marBottom w:val="0"/>
      <w:divBdr>
        <w:top w:val="none" w:sz="0" w:space="0" w:color="auto"/>
        <w:left w:val="none" w:sz="0" w:space="0" w:color="auto"/>
        <w:bottom w:val="none" w:sz="0" w:space="0" w:color="auto"/>
        <w:right w:val="none" w:sz="0" w:space="0" w:color="auto"/>
      </w:divBdr>
    </w:div>
    <w:div w:id="437726492">
      <w:bodyDiv w:val="1"/>
      <w:marLeft w:val="0"/>
      <w:marRight w:val="0"/>
      <w:marTop w:val="0"/>
      <w:marBottom w:val="0"/>
      <w:divBdr>
        <w:top w:val="none" w:sz="0" w:space="0" w:color="auto"/>
        <w:left w:val="none" w:sz="0" w:space="0" w:color="auto"/>
        <w:bottom w:val="none" w:sz="0" w:space="0" w:color="auto"/>
        <w:right w:val="none" w:sz="0" w:space="0" w:color="auto"/>
      </w:divBdr>
    </w:div>
    <w:div w:id="533546264">
      <w:bodyDiv w:val="1"/>
      <w:marLeft w:val="0"/>
      <w:marRight w:val="0"/>
      <w:marTop w:val="0"/>
      <w:marBottom w:val="0"/>
      <w:divBdr>
        <w:top w:val="none" w:sz="0" w:space="0" w:color="auto"/>
        <w:left w:val="none" w:sz="0" w:space="0" w:color="auto"/>
        <w:bottom w:val="none" w:sz="0" w:space="0" w:color="auto"/>
        <w:right w:val="none" w:sz="0" w:space="0" w:color="auto"/>
      </w:divBdr>
    </w:div>
    <w:div w:id="629556174">
      <w:bodyDiv w:val="1"/>
      <w:marLeft w:val="0"/>
      <w:marRight w:val="0"/>
      <w:marTop w:val="0"/>
      <w:marBottom w:val="0"/>
      <w:divBdr>
        <w:top w:val="none" w:sz="0" w:space="0" w:color="auto"/>
        <w:left w:val="none" w:sz="0" w:space="0" w:color="auto"/>
        <w:bottom w:val="none" w:sz="0" w:space="0" w:color="auto"/>
        <w:right w:val="none" w:sz="0" w:space="0" w:color="auto"/>
      </w:divBdr>
    </w:div>
    <w:div w:id="631207843">
      <w:bodyDiv w:val="1"/>
      <w:marLeft w:val="0"/>
      <w:marRight w:val="0"/>
      <w:marTop w:val="0"/>
      <w:marBottom w:val="0"/>
      <w:divBdr>
        <w:top w:val="none" w:sz="0" w:space="0" w:color="auto"/>
        <w:left w:val="none" w:sz="0" w:space="0" w:color="auto"/>
        <w:bottom w:val="none" w:sz="0" w:space="0" w:color="auto"/>
        <w:right w:val="none" w:sz="0" w:space="0" w:color="auto"/>
      </w:divBdr>
    </w:div>
    <w:div w:id="783426031">
      <w:bodyDiv w:val="1"/>
      <w:marLeft w:val="0"/>
      <w:marRight w:val="0"/>
      <w:marTop w:val="0"/>
      <w:marBottom w:val="0"/>
      <w:divBdr>
        <w:top w:val="none" w:sz="0" w:space="0" w:color="auto"/>
        <w:left w:val="none" w:sz="0" w:space="0" w:color="auto"/>
        <w:bottom w:val="none" w:sz="0" w:space="0" w:color="auto"/>
        <w:right w:val="none" w:sz="0" w:space="0" w:color="auto"/>
      </w:divBdr>
    </w:div>
    <w:div w:id="864296553">
      <w:bodyDiv w:val="1"/>
      <w:marLeft w:val="0"/>
      <w:marRight w:val="0"/>
      <w:marTop w:val="0"/>
      <w:marBottom w:val="0"/>
      <w:divBdr>
        <w:top w:val="none" w:sz="0" w:space="0" w:color="auto"/>
        <w:left w:val="none" w:sz="0" w:space="0" w:color="auto"/>
        <w:bottom w:val="none" w:sz="0" w:space="0" w:color="auto"/>
        <w:right w:val="none" w:sz="0" w:space="0" w:color="auto"/>
      </w:divBdr>
    </w:div>
    <w:div w:id="1097824430">
      <w:bodyDiv w:val="1"/>
      <w:marLeft w:val="0"/>
      <w:marRight w:val="0"/>
      <w:marTop w:val="0"/>
      <w:marBottom w:val="0"/>
      <w:divBdr>
        <w:top w:val="none" w:sz="0" w:space="0" w:color="auto"/>
        <w:left w:val="none" w:sz="0" w:space="0" w:color="auto"/>
        <w:bottom w:val="none" w:sz="0" w:space="0" w:color="auto"/>
        <w:right w:val="none" w:sz="0" w:space="0" w:color="auto"/>
      </w:divBdr>
    </w:div>
    <w:div w:id="1127433457">
      <w:bodyDiv w:val="1"/>
      <w:marLeft w:val="0"/>
      <w:marRight w:val="0"/>
      <w:marTop w:val="0"/>
      <w:marBottom w:val="0"/>
      <w:divBdr>
        <w:top w:val="none" w:sz="0" w:space="0" w:color="auto"/>
        <w:left w:val="none" w:sz="0" w:space="0" w:color="auto"/>
        <w:bottom w:val="none" w:sz="0" w:space="0" w:color="auto"/>
        <w:right w:val="none" w:sz="0" w:space="0" w:color="auto"/>
      </w:divBdr>
    </w:div>
    <w:div w:id="1161774884">
      <w:bodyDiv w:val="1"/>
      <w:marLeft w:val="0"/>
      <w:marRight w:val="0"/>
      <w:marTop w:val="0"/>
      <w:marBottom w:val="0"/>
      <w:divBdr>
        <w:top w:val="none" w:sz="0" w:space="0" w:color="auto"/>
        <w:left w:val="none" w:sz="0" w:space="0" w:color="auto"/>
        <w:bottom w:val="none" w:sz="0" w:space="0" w:color="auto"/>
        <w:right w:val="none" w:sz="0" w:space="0" w:color="auto"/>
      </w:divBdr>
    </w:div>
    <w:div w:id="1201360733">
      <w:bodyDiv w:val="1"/>
      <w:marLeft w:val="0"/>
      <w:marRight w:val="0"/>
      <w:marTop w:val="0"/>
      <w:marBottom w:val="0"/>
      <w:divBdr>
        <w:top w:val="none" w:sz="0" w:space="0" w:color="auto"/>
        <w:left w:val="none" w:sz="0" w:space="0" w:color="auto"/>
        <w:bottom w:val="none" w:sz="0" w:space="0" w:color="auto"/>
        <w:right w:val="none" w:sz="0" w:space="0" w:color="auto"/>
      </w:divBdr>
    </w:div>
    <w:div w:id="1331836225">
      <w:bodyDiv w:val="1"/>
      <w:marLeft w:val="0"/>
      <w:marRight w:val="0"/>
      <w:marTop w:val="0"/>
      <w:marBottom w:val="0"/>
      <w:divBdr>
        <w:top w:val="none" w:sz="0" w:space="0" w:color="auto"/>
        <w:left w:val="none" w:sz="0" w:space="0" w:color="auto"/>
        <w:bottom w:val="none" w:sz="0" w:space="0" w:color="auto"/>
        <w:right w:val="none" w:sz="0" w:space="0" w:color="auto"/>
      </w:divBdr>
    </w:div>
    <w:div w:id="1403867556">
      <w:bodyDiv w:val="1"/>
      <w:marLeft w:val="0"/>
      <w:marRight w:val="0"/>
      <w:marTop w:val="0"/>
      <w:marBottom w:val="0"/>
      <w:divBdr>
        <w:top w:val="none" w:sz="0" w:space="0" w:color="auto"/>
        <w:left w:val="none" w:sz="0" w:space="0" w:color="auto"/>
        <w:bottom w:val="none" w:sz="0" w:space="0" w:color="auto"/>
        <w:right w:val="none" w:sz="0" w:space="0" w:color="auto"/>
      </w:divBdr>
    </w:div>
    <w:div w:id="1440759732">
      <w:bodyDiv w:val="1"/>
      <w:marLeft w:val="0"/>
      <w:marRight w:val="0"/>
      <w:marTop w:val="0"/>
      <w:marBottom w:val="0"/>
      <w:divBdr>
        <w:top w:val="none" w:sz="0" w:space="0" w:color="auto"/>
        <w:left w:val="none" w:sz="0" w:space="0" w:color="auto"/>
        <w:bottom w:val="none" w:sz="0" w:space="0" w:color="auto"/>
        <w:right w:val="none" w:sz="0" w:space="0" w:color="auto"/>
      </w:divBdr>
    </w:div>
    <w:div w:id="1735929412">
      <w:bodyDiv w:val="1"/>
      <w:marLeft w:val="0"/>
      <w:marRight w:val="0"/>
      <w:marTop w:val="0"/>
      <w:marBottom w:val="0"/>
      <w:divBdr>
        <w:top w:val="none" w:sz="0" w:space="0" w:color="auto"/>
        <w:left w:val="none" w:sz="0" w:space="0" w:color="auto"/>
        <w:bottom w:val="none" w:sz="0" w:space="0" w:color="auto"/>
        <w:right w:val="none" w:sz="0" w:space="0" w:color="auto"/>
      </w:divBdr>
    </w:div>
    <w:div w:id="17470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C5CC-1E6D-4227-9F2F-34F113ED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Amanda</cp:lastModifiedBy>
  <cp:revision>2</cp:revision>
  <cp:lastPrinted>2015-05-13T03:35:00Z</cp:lastPrinted>
  <dcterms:created xsi:type="dcterms:W3CDTF">2015-11-02T18:38:00Z</dcterms:created>
  <dcterms:modified xsi:type="dcterms:W3CDTF">2015-11-02T18:38:00Z</dcterms:modified>
</cp:coreProperties>
</file>